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288" w:lineRule="auto"/>
        <w:jc w:val="center"/>
        <w:rPr>
          <w:rFonts w:ascii="楷体" w:hAnsi="楷体" w:eastAsia="楷体"/>
          <w:b/>
          <w:spacing w:val="-6"/>
          <w:sz w:val="44"/>
          <w:szCs w:val="44"/>
        </w:rPr>
      </w:pPr>
    </w:p>
    <w:p>
      <w:pPr>
        <w:adjustRightInd w:val="0"/>
        <w:snapToGrid w:val="0"/>
        <w:spacing w:line="288" w:lineRule="auto"/>
        <w:jc w:val="center"/>
        <w:rPr>
          <w:rFonts w:ascii="楷体" w:hAnsi="楷体" w:eastAsia="楷体"/>
          <w:b/>
          <w:spacing w:val="-6"/>
          <w:sz w:val="44"/>
          <w:szCs w:val="44"/>
        </w:rPr>
      </w:pPr>
    </w:p>
    <w:p>
      <w:pPr>
        <w:adjustRightInd w:val="0"/>
        <w:snapToGrid w:val="0"/>
        <w:spacing w:line="288"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adjustRightInd w:val="0"/>
        <w:snapToGrid w:val="0"/>
        <w:spacing w:line="288" w:lineRule="auto"/>
        <w:jc w:val="center"/>
        <w:rPr>
          <w:rFonts w:ascii="楷体" w:hAnsi="楷体" w:eastAsia="楷体"/>
          <w:b/>
          <w:spacing w:val="-6"/>
          <w:sz w:val="48"/>
          <w:szCs w:val="48"/>
        </w:rPr>
      </w:pPr>
      <w:r>
        <w:rPr>
          <w:rFonts w:hint="eastAsia" w:ascii="楷体" w:hAnsi="楷体" w:eastAsia="楷体"/>
          <w:b/>
          <w:spacing w:val="-6"/>
          <w:sz w:val="48"/>
          <w:szCs w:val="48"/>
        </w:rPr>
        <w:t>浙江大学</w:t>
      </w:r>
    </w:p>
    <w:p>
      <w:pPr>
        <w:adjustRightInd w:val="0"/>
        <w:snapToGrid w:val="0"/>
        <w:spacing w:line="288" w:lineRule="auto"/>
        <w:jc w:val="center"/>
        <w:rPr>
          <w:rFonts w:ascii="楷体" w:hAnsi="楷体" w:eastAsia="楷体"/>
          <w:b/>
          <w:spacing w:val="-6"/>
          <w:sz w:val="48"/>
          <w:szCs w:val="48"/>
        </w:rPr>
      </w:pPr>
      <w:r>
        <w:rPr>
          <w:rFonts w:hint="eastAsia" w:ascii="楷体" w:hAnsi="楷体" w:eastAsia="楷体"/>
          <w:b/>
          <w:spacing w:val="-6"/>
          <w:sz w:val="48"/>
          <w:szCs w:val="48"/>
        </w:rPr>
        <w:t>IDC机房机柜托管</w:t>
      </w:r>
    </w:p>
    <w:p>
      <w:pPr>
        <w:adjustRightInd w:val="0"/>
        <w:snapToGrid w:val="0"/>
        <w:spacing w:line="288" w:lineRule="auto"/>
        <w:jc w:val="center"/>
        <w:rPr>
          <w:rFonts w:ascii="楷体" w:hAnsi="楷体" w:eastAsia="楷体"/>
          <w:b/>
          <w:spacing w:val="-6"/>
          <w:sz w:val="48"/>
          <w:szCs w:val="48"/>
        </w:rPr>
      </w:pPr>
    </w:p>
    <w:p>
      <w:pPr>
        <w:adjustRightInd w:val="0"/>
        <w:snapToGrid w:val="0"/>
        <w:spacing w:line="288" w:lineRule="auto"/>
        <w:jc w:val="center"/>
        <w:rPr>
          <w:rFonts w:ascii="楷体" w:hAnsi="楷体" w:eastAsia="楷体"/>
          <w:b/>
          <w:spacing w:val="-6"/>
          <w:sz w:val="48"/>
          <w:szCs w:val="48"/>
        </w:rPr>
      </w:pPr>
    </w:p>
    <w:p>
      <w:pPr>
        <w:adjustRightInd w:val="0"/>
        <w:snapToGrid w:val="0"/>
        <w:spacing w:line="288" w:lineRule="auto"/>
        <w:jc w:val="center"/>
        <w:rPr>
          <w:rFonts w:ascii="楷体" w:hAnsi="楷体" w:eastAsia="楷体"/>
          <w:b/>
          <w:spacing w:val="-6"/>
          <w:sz w:val="72"/>
          <w:szCs w:val="72"/>
        </w:rPr>
      </w:pPr>
      <w:r>
        <w:rPr>
          <w:rFonts w:hint="eastAsia" w:ascii="楷体" w:hAnsi="楷体" w:eastAsia="楷体"/>
          <w:b/>
          <w:spacing w:val="-6"/>
          <w:sz w:val="72"/>
          <w:szCs w:val="72"/>
        </w:rPr>
        <w:t>磋商文件</w:t>
      </w:r>
    </w:p>
    <w:p>
      <w:pPr>
        <w:adjustRightInd w:val="0"/>
        <w:snapToGrid w:val="0"/>
        <w:spacing w:line="288" w:lineRule="auto"/>
        <w:rPr>
          <w:rFonts w:ascii="楷体" w:hAnsi="楷体" w:eastAsia="楷体"/>
          <w:b/>
          <w:spacing w:val="-6"/>
          <w:sz w:val="30"/>
          <w:szCs w:val="30"/>
        </w:rPr>
      </w:pPr>
    </w:p>
    <w:p>
      <w:pPr>
        <w:adjustRightInd w:val="0"/>
        <w:snapToGrid w:val="0"/>
        <w:spacing w:line="288" w:lineRule="auto"/>
        <w:rPr>
          <w:rFonts w:ascii="楷体" w:hAnsi="楷体" w:eastAsia="楷体"/>
          <w:b/>
          <w:spacing w:val="-6"/>
          <w:sz w:val="30"/>
          <w:szCs w:val="30"/>
        </w:rPr>
      </w:pPr>
    </w:p>
    <w:p>
      <w:pPr>
        <w:adjustRightInd w:val="0"/>
        <w:snapToGrid w:val="0"/>
        <w:spacing w:line="288" w:lineRule="auto"/>
        <w:rPr>
          <w:rFonts w:ascii="楷体" w:hAnsi="楷体" w:eastAsia="楷体"/>
          <w:b/>
          <w:spacing w:val="-6"/>
          <w:sz w:val="30"/>
          <w:szCs w:val="30"/>
        </w:rPr>
      </w:pPr>
      <w:r>
        <w:rPr>
          <w:rFonts w:hint="eastAsia" w:ascii="楷体" w:hAnsi="楷体" w:eastAsia="楷体"/>
          <w:b/>
          <w:spacing w:val="-6"/>
          <w:sz w:val="30"/>
          <w:szCs w:val="30"/>
        </w:rPr>
        <w:t>采 购 人：浙江大学</w:t>
      </w:r>
    </w:p>
    <w:p>
      <w:pPr>
        <w:adjustRightInd w:val="0"/>
        <w:snapToGrid w:val="0"/>
        <w:spacing w:line="288" w:lineRule="auto"/>
        <w:rPr>
          <w:rFonts w:ascii="楷体" w:hAnsi="楷体" w:eastAsia="楷体"/>
          <w:b/>
          <w:spacing w:val="-6"/>
          <w:sz w:val="30"/>
          <w:szCs w:val="30"/>
        </w:rPr>
      </w:pPr>
      <w:r>
        <w:rPr>
          <w:rFonts w:hint="eastAsia" w:ascii="楷体" w:hAnsi="楷体" w:eastAsia="楷体"/>
          <w:b/>
          <w:spacing w:val="-6"/>
          <w:sz w:val="30"/>
          <w:szCs w:val="30"/>
        </w:rPr>
        <w:t>项目名称：IDC机房机柜托管</w:t>
      </w:r>
    </w:p>
    <w:p>
      <w:pPr>
        <w:adjustRightInd w:val="0"/>
        <w:snapToGrid w:val="0"/>
        <w:spacing w:line="288" w:lineRule="auto"/>
        <w:rPr>
          <w:rFonts w:ascii="楷体" w:hAnsi="楷体" w:eastAsia="楷体"/>
          <w:b/>
          <w:spacing w:val="-6"/>
          <w:sz w:val="30"/>
          <w:szCs w:val="30"/>
        </w:rPr>
      </w:pPr>
      <w:r>
        <w:rPr>
          <w:rFonts w:hint="eastAsia" w:ascii="楷体" w:hAnsi="楷体" w:eastAsia="楷体"/>
          <w:b/>
          <w:spacing w:val="-6"/>
          <w:sz w:val="30"/>
          <w:szCs w:val="30"/>
        </w:rPr>
        <w:t>项目编号：QSZB-Z(F)-A22308(CS)</w:t>
      </w:r>
    </w:p>
    <w:p>
      <w:pPr>
        <w:adjustRightInd w:val="0"/>
        <w:snapToGrid w:val="0"/>
        <w:spacing w:line="288" w:lineRule="auto"/>
        <w:rPr>
          <w:rFonts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pPr>
        <w:widowControl/>
        <w:adjustRightInd w:val="0"/>
        <w:snapToGrid w:val="0"/>
        <w:spacing w:line="288" w:lineRule="auto"/>
        <w:jc w:val="left"/>
        <w:rPr>
          <w:rFonts w:ascii="楷体" w:hAnsi="楷体" w:eastAsia="楷体"/>
          <w:b/>
          <w:spacing w:val="-6"/>
          <w:sz w:val="30"/>
          <w:szCs w:val="30"/>
        </w:rPr>
      </w:pPr>
      <w:r>
        <w:rPr>
          <w:rFonts w:ascii="楷体" w:hAnsi="楷体" w:eastAsia="楷体"/>
          <w:b/>
          <w:spacing w:val="-6"/>
          <w:sz w:val="30"/>
          <w:szCs w:val="30"/>
        </w:rPr>
        <w:br w:type="page"/>
      </w:r>
    </w:p>
    <w:p>
      <w:pPr>
        <w:adjustRightInd w:val="0"/>
        <w:snapToGrid w:val="0"/>
        <w:spacing w:line="288" w:lineRule="auto"/>
        <w:rPr>
          <w:rFonts w:ascii="楷体" w:hAnsi="楷体" w:eastAsia="楷体"/>
          <w:b/>
          <w:spacing w:val="-6"/>
          <w:sz w:val="30"/>
          <w:szCs w:val="30"/>
        </w:rPr>
      </w:pPr>
    </w:p>
    <w:p>
      <w:pPr>
        <w:pStyle w:val="12"/>
        <w:adjustRightInd w:val="0"/>
        <w:snapToGrid w:val="0"/>
        <w:spacing w:beforeLines="0" w:afterLines="0" w:line="288" w:lineRule="auto"/>
        <w:jc w:val="center"/>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 xml:space="preserve"> 录</w:t>
      </w:r>
    </w:p>
    <w:p>
      <w:pPr>
        <w:pStyle w:val="12"/>
        <w:adjustRightInd w:val="0"/>
        <w:snapToGrid w:val="0"/>
        <w:spacing w:beforeLines="0" w:afterLines="0" w:line="288" w:lineRule="auto"/>
        <w:rPr>
          <w:rFonts w:ascii="楷体" w:hAnsi="楷体" w:eastAsia="楷体"/>
          <w:b/>
          <w:sz w:val="30"/>
          <w:szCs w:val="30"/>
        </w:rPr>
      </w:pP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采购邀请</w:t>
      </w: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供应商须知</w:t>
      </w: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评审方法及评审标准</w:t>
      </w: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第五章</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响应文件格式</w:t>
      </w:r>
    </w:p>
    <w:p>
      <w:pPr>
        <w:tabs>
          <w:tab w:val="left" w:pos="1440"/>
        </w:tabs>
        <w:adjustRightInd w:val="0"/>
        <w:snapToGrid w:val="0"/>
        <w:spacing w:line="288" w:lineRule="auto"/>
        <w:ind w:left="284"/>
        <w:rPr>
          <w:rFonts w:ascii="宋体" w:hAnsi="宋体"/>
          <w:b/>
          <w:spacing w:val="-6"/>
          <w:sz w:val="30"/>
          <w:szCs w:val="30"/>
        </w:rPr>
      </w:pPr>
    </w:p>
    <w:p>
      <w:pPr>
        <w:pStyle w:val="12"/>
        <w:adjustRightInd w:val="0"/>
        <w:snapToGrid w:val="0"/>
        <w:spacing w:beforeLines="0" w:afterLines="0" w:line="288" w:lineRule="auto"/>
        <w:jc w:val="center"/>
        <w:outlineLvl w:val="0"/>
        <w:rPr>
          <w:rFonts w:hAnsi="宋体"/>
          <w:sz w:val="21"/>
          <w:szCs w:val="21"/>
        </w:rPr>
        <w:sectPr>
          <w:headerReference r:id="rId3" w:type="default"/>
          <w:footerReference r:id="rId4" w:type="default"/>
          <w:pgSz w:w="11906" w:h="16838"/>
          <w:pgMar w:top="1247" w:right="1247" w:bottom="1247" w:left="1247" w:header="0" w:footer="782" w:gutter="0"/>
          <w:cols w:space="720" w:num="1"/>
          <w:docGrid w:linePitch="381" w:charSpace="0"/>
        </w:sectPr>
      </w:pPr>
    </w:p>
    <w:p>
      <w:pPr>
        <w:pStyle w:val="12"/>
        <w:adjustRightInd w:val="0"/>
        <w:snapToGrid w:val="0"/>
        <w:spacing w:beforeLines="0" w:afterLines="0" w:line="288" w:lineRule="auto"/>
        <w:jc w:val="center"/>
        <w:outlineLvl w:val="0"/>
        <w:rPr>
          <w:rFonts w:hAnsi="宋体"/>
          <w:b/>
          <w:spacing w:val="-6"/>
          <w:sz w:val="32"/>
          <w:szCs w:val="32"/>
        </w:rPr>
      </w:pPr>
      <w:r>
        <w:rPr>
          <w:rFonts w:hAnsi="宋体"/>
          <w:b/>
          <w:spacing w:val="-6"/>
          <w:sz w:val="32"/>
          <w:szCs w:val="32"/>
        </w:rPr>
        <w:t>第一章  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sz w:val="21"/>
          <w:szCs w:val="21"/>
        </w:rPr>
      </w:pPr>
      <w:r>
        <w:rPr>
          <w:rFonts w:hint="eastAsia" w:ascii="宋体" w:hAnsi="宋体"/>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sz w:val="21"/>
          <w:szCs w:val="21"/>
        </w:rPr>
      </w:pPr>
      <w:r>
        <w:rPr>
          <w:rFonts w:hint="eastAsia" w:ascii="宋体" w:hAnsi="宋体"/>
          <w:b/>
          <w:sz w:val="21"/>
          <w:szCs w:val="21"/>
          <w:u w:val="single"/>
        </w:rPr>
        <w:t xml:space="preserve"> IDC机房机柜托管</w:t>
      </w:r>
      <w:r>
        <w:rPr>
          <w:rFonts w:hint="eastAsia" w:ascii="宋体" w:hAnsi="宋体"/>
          <w:b/>
          <w:sz w:val="21"/>
          <w:szCs w:val="21"/>
        </w:rPr>
        <w:t>采购项目的潜在供应商应在</w:t>
      </w:r>
      <w:r>
        <w:rPr>
          <w:rFonts w:hint="eastAsia" w:ascii="宋体" w:hAnsi="宋体"/>
          <w:b/>
          <w:sz w:val="21"/>
          <w:szCs w:val="21"/>
          <w:u w:val="single"/>
        </w:rPr>
        <w:t xml:space="preserve"> 微信获取（扫描附件二维码或关注“浙江求是招标代理有限公司”企业公众号）或现场（杭州市西湖区玉古路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21楼H</w:t>
      </w:r>
      <w:r>
        <w:rPr>
          <w:rFonts w:hint="eastAsia" w:ascii="宋体" w:hAnsi="宋体"/>
          <w:b/>
          <w:sz w:val="21"/>
          <w:szCs w:val="21"/>
          <w:u w:val="single"/>
        </w:rPr>
        <w:t>室）</w:t>
      </w:r>
      <w:r>
        <w:rPr>
          <w:rFonts w:hint="eastAsia" w:ascii="宋体" w:hAnsi="宋体"/>
          <w:b/>
          <w:sz w:val="21"/>
          <w:szCs w:val="21"/>
        </w:rPr>
        <w:t>获取采购文件，并于</w:t>
      </w:r>
      <w:r>
        <w:rPr>
          <w:rFonts w:hint="eastAsia" w:ascii="宋体" w:hAnsi="宋体"/>
          <w:b/>
          <w:sz w:val="21"/>
          <w:szCs w:val="21"/>
          <w:u w:val="single"/>
          <w:lang w:eastAsia="zh-CN"/>
        </w:rPr>
        <w:t>2023年1月11日</w:t>
      </w:r>
      <w:r>
        <w:rPr>
          <w:rFonts w:hint="eastAsia" w:ascii="宋体" w:hAnsi="宋体"/>
          <w:b/>
          <w:sz w:val="21"/>
          <w:szCs w:val="21"/>
          <w:u w:val="single"/>
        </w:rPr>
        <w:t>9:00:00</w:t>
      </w:r>
      <w:r>
        <w:rPr>
          <w:rFonts w:hint="eastAsia" w:ascii="宋体" w:hAnsi="宋体"/>
          <w:b/>
          <w:bCs/>
          <w:sz w:val="21"/>
          <w:szCs w:val="21"/>
        </w:rPr>
        <w:t>（北京时间）前递交响应</w:t>
      </w:r>
      <w:r>
        <w:rPr>
          <w:rFonts w:ascii="宋体" w:hAnsi="宋体"/>
          <w:b/>
          <w:bCs/>
          <w:sz w:val="21"/>
          <w:szCs w:val="21"/>
        </w:rPr>
        <w:t>文件</w:t>
      </w:r>
      <w:r>
        <w:rPr>
          <w:rFonts w:hint="eastAsia" w:ascii="宋体" w:hAnsi="宋体"/>
          <w:b/>
          <w:sz w:val="21"/>
          <w:szCs w:val="21"/>
        </w:rPr>
        <w:t>。</w:t>
      </w:r>
    </w:p>
    <w:p>
      <w:pPr>
        <w:adjustRightInd w:val="0"/>
        <w:snapToGrid w:val="0"/>
        <w:spacing w:line="288" w:lineRule="auto"/>
        <w:ind w:firstLine="200"/>
        <w:rPr>
          <w:rFonts w:ascii="宋体" w:hAnsi="宋体"/>
          <w:b/>
          <w:sz w:val="21"/>
          <w:szCs w:val="21"/>
        </w:rPr>
      </w:pPr>
      <w:bookmarkStart w:id="0" w:name="_Toc35393790"/>
      <w:bookmarkStart w:id="1" w:name="_Toc28359079"/>
      <w:bookmarkStart w:id="2" w:name="_Toc28359002"/>
      <w:bookmarkStart w:id="3" w:name="_Toc35393621"/>
      <w:bookmarkStart w:id="4" w:name="_Hlk24379207"/>
      <w:r>
        <w:rPr>
          <w:rFonts w:hint="eastAsia" w:ascii="宋体" w:hAnsi="宋体"/>
          <w:b/>
          <w:sz w:val="21"/>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1.项目编号：QSZB-Z(F)-A22308(CS)</w:t>
      </w:r>
    </w:p>
    <w:p>
      <w:pPr>
        <w:adjustRightInd w:val="0"/>
        <w:snapToGrid w:val="0"/>
        <w:spacing w:line="288"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.项目名称：IDC机房机柜托管</w:t>
      </w:r>
    </w:p>
    <w:p>
      <w:pPr>
        <w:adjustRightInd w:val="0"/>
        <w:snapToGrid w:val="0"/>
        <w:spacing w:line="288" w:lineRule="auto"/>
        <w:ind w:firstLine="420" w:firstLineChars="200"/>
        <w:rPr>
          <w:rFonts w:ascii="宋体" w:hAnsi="宋体"/>
          <w:sz w:val="21"/>
          <w:szCs w:val="21"/>
          <w:highlight w:val="yellow"/>
        </w:rPr>
      </w:pPr>
      <w:r>
        <w:rPr>
          <w:rFonts w:ascii="宋体" w:hAnsi="宋体"/>
          <w:sz w:val="21"/>
          <w:szCs w:val="21"/>
        </w:rPr>
        <w:t>3</w:t>
      </w:r>
      <w:r>
        <w:rPr>
          <w:rFonts w:hint="eastAsia" w:ascii="宋体" w:hAnsi="宋体"/>
          <w:sz w:val="21"/>
          <w:szCs w:val="21"/>
        </w:rPr>
        <w:t>.采购方式：竞争性磋商</w:t>
      </w:r>
    </w:p>
    <w:bookmarkEnd w:id="4"/>
    <w:p>
      <w:pPr>
        <w:adjustRightInd w:val="0"/>
        <w:snapToGrid w:val="0"/>
        <w:spacing w:line="288" w:lineRule="auto"/>
        <w:ind w:firstLine="420" w:firstLineChars="200"/>
        <w:rPr>
          <w:rFonts w:ascii="宋体" w:hAnsi="宋体"/>
          <w:sz w:val="21"/>
          <w:szCs w:val="21"/>
          <w:u w:val="single"/>
        </w:rPr>
      </w:pPr>
      <w:r>
        <w:rPr>
          <w:rFonts w:ascii="宋体" w:hAnsi="宋体"/>
          <w:sz w:val="21"/>
          <w:szCs w:val="21"/>
        </w:rPr>
        <w:t>4</w:t>
      </w:r>
      <w:r>
        <w:rPr>
          <w:rFonts w:hint="eastAsia" w:ascii="宋体" w:hAnsi="宋体"/>
          <w:sz w:val="21"/>
          <w:szCs w:val="21"/>
        </w:rPr>
        <w:t>.合同履约期限：合同签订后12个月</w:t>
      </w:r>
    </w:p>
    <w:p>
      <w:pPr>
        <w:adjustRightInd w:val="0"/>
        <w:snapToGrid w:val="0"/>
        <w:spacing w:line="288" w:lineRule="auto"/>
        <w:ind w:firstLine="420" w:firstLineChars="200"/>
        <w:rPr>
          <w:rFonts w:ascii="宋体" w:hAnsi="宋体"/>
          <w:bCs/>
          <w:sz w:val="21"/>
          <w:szCs w:val="21"/>
        </w:rPr>
      </w:pPr>
      <w:r>
        <w:rPr>
          <w:rFonts w:ascii="宋体" w:hAnsi="宋体"/>
          <w:bCs/>
          <w:sz w:val="21"/>
          <w:szCs w:val="21"/>
        </w:rPr>
        <w:t>5</w:t>
      </w:r>
      <w:r>
        <w:rPr>
          <w:rFonts w:hint="eastAsia" w:ascii="宋体" w:hAnsi="宋体"/>
          <w:bCs/>
          <w:sz w:val="21"/>
          <w:szCs w:val="21"/>
        </w:rPr>
        <w:t>.本项目不接受联合体响应。</w:t>
      </w:r>
    </w:p>
    <w:p>
      <w:pPr>
        <w:adjustRightInd w:val="0"/>
        <w:snapToGrid w:val="0"/>
        <w:spacing w:line="288" w:lineRule="auto"/>
        <w:ind w:firstLine="420" w:firstLineChars="200"/>
        <w:rPr>
          <w:rFonts w:ascii="宋体" w:hAnsi="宋体"/>
          <w:sz w:val="21"/>
          <w:szCs w:val="21"/>
        </w:rPr>
      </w:pPr>
      <w:r>
        <w:rPr>
          <w:rFonts w:ascii="宋体" w:hAnsi="宋体"/>
          <w:sz w:val="21"/>
          <w:szCs w:val="21"/>
        </w:rPr>
        <w:t>6</w:t>
      </w:r>
      <w:r>
        <w:rPr>
          <w:rFonts w:hint="eastAsia" w:ascii="宋体" w:hAnsi="宋体"/>
          <w:sz w:val="21"/>
          <w:szCs w:val="21"/>
        </w:rPr>
        <w:t>.采购需求：</w:t>
      </w:r>
    </w:p>
    <w:tbl>
      <w:tblPr>
        <w:tblStyle w:val="2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9"/>
        <w:gridCol w:w="2294"/>
        <w:gridCol w:w="817"/>
        <w:gridCol w:w="819"/>
        <w:gridCol w:w="1967"/>
        <w:gridCol w:w="1474"/>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05" w:type="pct"/>
            <w:tcBorders>
              <w:tl2br w:val="nil"/>
              <w:tr2bl w:val="nil"/>
            </w:tcBorders>
            <w:vAlign w:val="center"/>
          </w:tcPr>
          <w:p>
            <w:pPr>
              <w:adjustRightInd w:val="0"/>
              <w:snapToGrid w:val="0"/>
              <w:spacing w:line="288" w:lineRule="auto"/>
              <w:jc w:val="center"/>
              <w:rPr>
                <w:rFonts w:ascii="宋体" w:hAnsi="宋体" w:cs="宋体"/>
                <w:b/>
                <w:bCs/>
                <w:sz w:val="21"/>
                <w:szCs w:val="21"/>
              </w:rPr>
            </w:pPr>
            <w:bookmarkStart w:id="5" w:name="_Toc28359003"/>
            <w:bookmarkStart w:id="6" w:name="_Toc35393622"/>
            <w:bookmarkStart w:id="7" w:name="_Toc28359080"/>
            <w:bookmarkStart w:id="8" w:name="_Toc35393791"/>
            <w:r>
              <w:rPr>
                <w:rFonts w:hint="eastAsia" w:ascii="宋体" w:hAnsi="宋体" w:cs="宋体"/>
                <w:b/>
                <w:bCs/>
                <w:sz w:val="21"/>
                <w:szCs w:val="21"/>
              </w:rPr>
              <w:t>序号</w:t>
            </w:r>
          </w:p>
        </w:tc>
        <w:tc>
          <w:tcPr>
            <w:tcW w:w="1191" w:type="pct"/>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424" w:type="pct"/>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425" w:type="pct"/>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1021" w:type="pct"/>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简要技术需求或服务要求</w:t>
            </w:r>
          </w:p>
        </w:tc>
        <w:tc>
          <w:tcPr>
            <w:tcW w:w="765" w:type="pct"/>
            <w:tcBorders>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预算金额</w:t>
            </w:r>
          </w:p>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（万元）</w:t>
            </w:r>
          </w:p>
        </w:tc>
        <w:tc>
          <w:tcPr>
            <w:tcW w:w="765" w:type="pct"/>
            <w:tcBorders>
              <w:right w:val="single" w:color="auto" w:sz="4" w:space="0"/>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最高限价</w:t>
            </w:r>
          </w:p>
          <w:p>
            <w:pPr>
              <w:adjustRightInd w:val="0"/>
              <w:snapToGrid w:val="0"/>
              <w:spacing w:line="288" w:lineRule="auto"/>
              <w:jc w:val="center"/>
              <w:rPr>
                <w:rFonts w:ascii="宋体" w:hAnsi="宋体" w:cs="宋体"/>
                <w:b/>
                <w:bCs/>
                <w:sz w:val="21"/>
                <w:szCs w:val="21"/>
              </w:rPr>
            </w:pPr>
            <w:r>
              <w:rPr>
                <w:rFonts w:hint="eastAsia" w:ascii="宋体" w:hAnsi="宋体" w:cs="宋体"/>
                <w:b/>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5" w:type="pct"/>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一</w:t>
            </w:r>
          </w:p>
        </w:tc>
        <w:tc>
          <w:tcPr>
            <w:tcW w:w="1191" w:type="pct"/>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sz w:val="21"/>
                <w:szCs w:val="21"/>
              </w:rPr>
              <w:t>IDC机房机柜托管</w:t>
            </w:r>
          </w:p>
        </w:tc>
        <w:tc>
          <w:tcPr>
            <w:tcW w:w="424" w:type="pct"/>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p>
        </w:tc>
        <w:tc>
          <w:tcPr>
            <w:tcW w:w="425" w:type="pct"/>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项</w:t>
            </w:r>
          </w:p>
        </w:tc>
        <w:tc>
          <w:tcPr>
            <w:tcW w:w="1021" w:type="pct"/>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详见采购需求</w:t>
            </w:r>
          </w:p>
        </w:tc>
        <w:tc>
          <w:tcPr>
            <w:tcW w:w="765" w:type="pct"/>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116</w:t>
            </w:r>
          </w:p>
        </w:tc>
        <w:tc>
          <w:tcPr>
            <w:tcW w:w="765" w:type="pct"/>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116</w:t>
            </w:r>
          </w:p>
        </w:tc>
      </w:tr>
    </w:tbl>
    <w:p>
      <w:pPr>
        <w:adjustRightInd w:val="0"/>
        <w:snapToGrid w:val="0"/>
        <w:spacing w:line="288" w:lineRule="auto"/>
        <w:ind w:firstLine="200"/>
        <w:rPr>
          <w:rFonts w:ascii="宋体" w:hAnsi="宋体"/>
          <w:b/>
          <w:sz w:val="21"/>
          <w:szCs w:val="21"/>
        </w:rPr>
      </w:pPr>
      <w:r>
        <w:rPr>
          <w:rFonts w:hint="eastAsia" w:ascii="宋体" w:hAnsi="宋体"/>
          <w:b/>
          <w:sz w:val="21"/>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bCs/>
          <w:sz w:val="21"/>
          <w:szCs w:val="21"/>
        </w:rPr>
      </w:pPr>
      <w:bookmarkStart w:id="9" w:name="_Toc28359081"/>
      <w:bookmarkStart w:id="10" w:name="_Toc28359004"/>
      <w:r>
        <w:rPr>
          <w:rFonts w:hint="eastAsia" w:ascii="宋体" w:hAnsi="宋体"/>
          <w:bCs/>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2.落实政府采购政策需满足的资格要求：本项目整体专门面向中小企业采购。</w:t>
      </w:r>
    </w:p>
    <w:p>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监狱企业、残疾人福利性单位视同小型、微型企业；</w:t>
      </w:r>
    </w:p>
    <w:p>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本项目属性为：服务</w:t>
      </w:r>
    </w:p>
    <w:p>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采购标的对应的中小企业划分标准所属行业：</w:t>
      </w:r>
      <w:r>
        <w:rPr>
          <w:rFonts w:hint="eastAsia" w:ascii="宋体" w:hAnsi="宋体"/>
          <w:sz w:val="21"/>
          <w:szCs w:val="21"/>
          <w:lang w:val="en-US" w:eastAsia="zh-CN"/>
        </w:rPr>
        <w:t>其</w:t>
      </w:r>
      <w:r>
        <w:rPr>
          <w:rFonts w:hint="eastAsia" w:ascii="宋体" w:hAnsi="宋体"/>
          <w:sz w:val="21"/>
          <w:szCs w:val="21"/>
        </w:rPr>
        <w:t>他未列明行业</w:t>
      </w:r>
    </w:p>
    <w:p>
      <w:pPr>
        <w:adjustRightInd w:val="0"/>
        <w:snapToGrid w:val="0"/>
        <w:spacing w:line="288" w:lineRule="auto"/>
        <w:ind w:firstLine="420" w:firstLineChars="200"/>
        <w:rPr>
          <w:rFonts w:ascii="宋体" w:hAnsi="宋体"/>
          <w:color w:val="FF0000"/>
          <w:sz w:val="21"/>
          <w:szCs w:val="21"/>
        </w:rPr>
      </w:pPr>
      <w:r>
        <w:rPr>
          <w:rFonts w:hint="eastAsia" w:ascii="宋体" w:hAnsi="宋体"/>
          <w:sz w:val="21"/>
          <w:szCs w:val="21"/>
        </w:rPr>
        <w:t>中小企业划型标准：从业人员300人以下的为中小微型企业。其中，从业人员100人及以上的为中型企业；从业人员10人及以上的为小型企业；从业人员10人以下的为微型企业。</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rPr>
        <w:t>3.本项目的特定资格要求：无</w:t>
      </w:r>
    </w:p>
    <w:p>
      <w:pPr>
        <w:adjustRightInd w:val="0"/>
        <w:snapToGrid w:val="0"/>
        <w:spacing w:line="288" w:lineRule="auto"/>
        <w:ind w:firstLine="200"/>
        <w:rPr>
          <w:rFonts w:ascii="宋体" w:hAnsi="宋体"/>
          <w:b/>
          <w:sz w:val="21"/>
          <w:szCs w:val="21"/>
        </w:rPr>
      </w:pPr>
      <w:bookmarkStart w:id="11" w:name="_Toc35393623"/>
      <w:bookmarkStart w:id="12" w:name="_Toc35393792"/>
      <w:r>
        <w:rPr>
          <w:rFonts w:hint="eastAsia" w:ascii="宋体" w:hAnsi="宋体"/>
          <w:b/>
          <w:sz w:val="21"/>
          <w:szCs w:val="21"/>
        </w:rPr>
        <w:t>三、获取采购文件</w:t>
      </w:r>
      <w:bookmarkEnd w:id="9"/>
      <w:bookmarkEnd w:id="10"/>
      <w:bookmarkEnd w:id="11"/>
      <w:bookmarkEnd w:id="12"/>
    </w:p>
    <w:p>
      <w:pPr>
        <w:adjustRightInd w:val="0"/>
        <w:snapToGrid w:val="0"/>
        <w:spacing w:line="288" w:lineRule="auto"/>
        <w:ind w:firstLine="420" w:firstLineChars="200"/>
        <w:rPr>
          <w:rFonts w:ascii="宋体" w:hAnsi="宋体"/>
          <w:sz w:val="21"/>
          <w:szCs w:val="21"/>
        </w:rPr>
      </w:pPr>
      <w:bookmarkStart w:id="13" w:name="_Toc28359005"/>
      <w:bookmarkStart w:id="14" w:name="_Toc28359082"/>
      <w:bookmarkStart w:id="15" w:name="_Toc35393793"/>
      <w:bookmarkStart w:id="16" w:name="_Toc35393624"/>
      <w:r>
        <w:rPr>
          <w:rFonts w:hint="eastAsia" w:ascii="宋体" w:hAnsi="宋体"/>
          <w:sz w:val="21"/>
          <w:szCs w:val="21"/>
        </w:rPr>
        <w:t>1</w:t>
      </w:r>
      <w:r>
        <w:rPr>
          <w:rFonts w:ascii="宋体" w:hAnsi="宋体"/>
          <w:sz w:val="21"/>
          <w:szCs w:val="21"/>
        </w:rPr>
        <w:t>.</w:t>
      </w:r>
      <w:r>
        <w:rPr>
          <w:rFonts w:hint="eastAsia" w:ascii="宋体" w:hAnsi="宋体"/>
          <w:sz w:val="21"/>
          <w:szCs w:val="21"/>
        </w:rPr>
        <w:t>时间：2022年12月30日至2023年1月</w:t>
      </w:r>
      <w:r>
        <w:rPr>
          <w:rFonts w:hint="eastAsia" w:ascii="宋体" w:hAnsi="宋体"/>
          <w:sz w:val="21"/>
          <w:szCs w:val="21"/>
          <w:lang w:val="en-US" w:eastAsia="zh-CN"/>
        </w:rPr>
        <w:t>10</w:t>
      </w:r>
      <w:r>
        <w:rPr>
          <w:rFonts w:hint="eastAsia" w:ascii="宋体" w:hAnsi="宋体"/>
          <w:sz w:val="21"/>
          <w:szCs w:val="21"/>
        </w:rPr>
        <w:t>日(双休日及法定节假日除外)</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上午：8:30-11:30 、下午：13:00-17:00。</w:t>
      </w:r>
      <w:r>
        <w:rPr>
          <w:rFonts w:hint="eastAsia" w:ascii="宋体" w:hAnsi="宋体"/>
          <w:color w:val="000000"/>
          <w:sz w:val="21"/>
          <w:szCs w:val="21"/>
        </w:rPr>
        <w:t>获取磋商文件截止时间之后潜在供应商依然可以获取磋商文件，如对磋商文件有质疑的应在规定的质疑期限内提出。</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地点：浙江求是招标代理有限公司（杭州市西湖区玉古路173号中田大厦21楼H室）</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方式：微信获取（扫描附件二维码或关注“浙江求是招标代理有限公司”企业公众号）或现场获取。</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rPr>
        <w:t>获取文件联系人：於路莹；联系方式：0571-</w:t>
      </w:r>
      <w:r>
        <w:rPr>
          <w:rFonts w:ascii="宋体" w:hAnsi="宋体"/>
          <w:sz w:val="21"/>
          <w:szCs w:val="21"/>
        </w:rPr>
        <w:t>87666112</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u w:val="single"/>
        </w:rPr>
        <w:t>5</w:t>
      </w:r>
      <w:r>
        <w:rPr>
          <w:rFonts w:ascii="宋体" w:hAnsi="宋体"/>
          <w:sz w:val="21"/>
          <w:szCs w:val="21"/>
          <w:u w:val="single"/>
        </w:rPr>
        <w:t>00</w:t>
      </w:r>
      <w:r>
        <w:rPr>
          <w:rFonts w:hint="eastAsia" w:ascii="宋体" w:hAnsi="宋体"/>
          <w:sz w:val="21"/>
          <w:szCs w:val="21"/>
          <w:u w:val="single"/>
        </w:rPr>
        <w:t>元整，售后不退。</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收款单位（户名）：浙江求是招标代理有限公司</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开户银行：工行浙大支行</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财务联系方式：0571-87666113</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rPr>
        <w:t>5.供应商未按照本公告规定的方式获取磋商文件的，响应文件将被拒绝。</w:t>
      </w:r>
    </w:p>
    <w:p>
      <w:pPr>
        <w:adjustRightInd w:val="0"/>
        <w:snapToGrid w:val="0"/>
        <w:spacing w:line="288" w:lineRule="auto"/>
        <w:ind w:firstLine="200"/>
        <w:rPr>
          <w:rFonts w:ascii="宋体" w:hAnsi="宋体"/>
          <w:b/>
          <w:sz w:val="21"/>
          <w:szCs w:val="21"/>
        </w:rPr>
      </w:pPr>
      <w:r>
        <w:rPr>
          <w:rFonts w:hint="eastAsia" w:ascii="宋体" w:hAnsi="宋体"/>
          <w:b/>
          <w:sz w:val="21"/>
          <w:szCs w:val="21"/>
        </w:rPr>
        <w:t>四、</w:t>
      </w:r>
      <w:bookmarkEnd w:id="13"/>
      <w:bookmarkEnd w:id="14"/>
      <w:bookmarkEnd w:id="15"/>
      <w:bookmarkEnd w:id="16"/>
      <w:r>
        <w:rPr>
          <w:rFonts w:hint="eastAsia" w:ascii="宋体" w:hAnsi="宋体"/>
          <w:b/>
          <w:sz w:val="21"/>
          <w:szCs w:val="21"/>
        </w:rPr>
        <w:t>响应文件提交</w:t>
      </w:r>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1.响应文件提交截止时间：</w:t>
      </w:r>
      <w:r>
        <w:rPr>
          <w:rFonts w:hint="eastAsia" w:ascii="宋体" w:hAnsi="宋体"/>
          <w:bCs/>
          <w:sz w:val="21"/>
          <w:szCs w:val="21"/>
          <w:lang w:eastAsia="zh-CN"/>
        </w:rPr>
        <w:t>2023年1月11日</w:t>
      </w:r>
      <w:r>
        <w:rPr>
          <w:rFonts w:hint="eastAsia" w:ascii="宋体" w:hAnsi="宋体"/>
          <w:bCs/>
          <w:sz w:val="21"/>
          <w:szCs w:val="21"/>
        </w:rPr>
        <w:t>9:</w:t>
      </w:r>
      <w:r>
        <w:rPr>
          <w:rFonts w:ascii="宋体" w:hAnsi="宋体"/>
          <w:bCs/>
          <w:sz w:val="21"/>
          <w:szCs w:val="21"/>
        </w:rPr>
        <w:t>0</w:t>
      </w:r>
      <w:r>
        <w:rPr>
          <w:rFonts w:hint="eastAsia" w:ascii="宋体" w:hAnsi="宋体"/>
          <w:bCs/>
          <w:sz w:val="21"/>
          <w:szCs w:val="21"/>
        </w:rPr>
        <w:t>0:00（北京时间）</w:t>
      </w:r>
    </w:p>
    <w:p>
      <w:pPr>
        <w:adjustRightInd w:val="0"/>
        <w:snapToGrid w:val="0"/>
        <w:spacing w:line="288" w:lineRule="auto"/>
        <w:ind w:firstLine="420" w:firstLineChars="200"/>
        <w:rPr>
          <w:rFonts w:hint="eastAsia" w:ascii="宋体" w:hAnsi="宋体" w:eastAsia="宋体"/>
          <w:bCs/>
          <w:sz w:val="21"/>
          <w:szCs w:val="21"/>
          <w:lang w:eastAsia="zh-CN"/>
        </w:rPr>
      </w:pPr>
      <w:r>
        <w:rPr>
          <w:rFonts w:hint="eastAsia" w:ascii="宋体" w:hAnsi="宋体"/>
          <w:bCs/>
          <w:sz w:val="21"/>
          <w:szCs w:val="21"/>
        </w:rPr>
        <w:t>2.地点：</w:t>
      </w:r>
      <w:bookmarkStart w:id="55" w:name="_GoBack"/>
      <w:bookmarkEnd w:id="55"/>
      <w:r>
        <w:rPr>
          <w:rFonts w:hint="eastAsia" w:ascii="宋体" w:hAnsi="宋体"/>
          <w:bCs/>
          <w:sz w:val="21"/>
          <w:szCs w:val="21"/>
          <w:lang w:eastAsia="zh-CN"/>
        </w:rPr>
        <w:t>杭州市西湖区玉古路173号中田大厦21楼求是招标3号会议室</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备注：</w:t>
      </w:r>
      <w:r>
        <w:rPr>
          <w:rFonts w:hint="eastAsia" w:ascii="宋体" w:hAnsi="宋体"/>
          <w:color w:val="000000"/>
          <w:sz w:val="21"/>
          <w:szCs w:val="21"/>
        </w:rPr>
        <w:t>供应商应当在磋商文件要求的截止时间前，将响应文件密封送达指定地点。在截止时间后送达</w:t>
      </w:r>
      <w:r>
        <w:rPr>
          <w:rFonts w:hint="eastAsia" w:ascii="宋体" w:hAnsi="宋体"/>
          <w:sz w:val="21"/>
          <w:szCs w:val="21"/>
        </w:rPr>
        <w:t>或者未密封</w:t>
      </w:r>
      <w:r>
        <w:rPr>
          <w:rFonts w:hint="eastAsia" w:ascii="宋体" w:hAnsi="宋体"/>
          <w:color w:val="000000"/>
          <w:sz w:val="21"/>
          <w:szCs w:val="21"/>
        </w:rPr>
        <w:t>的响应文件为无效文件，采购代理机构将予以拒收。</w:t>
      </w:r>
    </w:p>
    <w:p>
      <w:pPr>
        <w:adjustRightInd w:val="0"/>
        <w:snapToGrid w:val="0"/>
        <w:spacing w:line="288" w:lineRule="auto"/>
        <w:ind w:firstLine="200"/>
        <w:rPr>
          <w:rFonts w:ascii="宋体" w:hAnsi="宋体"/>
          <w:b/>
          <w:sz w:val="21"/>
          <w:szCs w:val="21"/>
        </w:rPr>
      </w:pPr>
      <w:bookmarkStart w:id="17" w:name="_Toc28359007"/>
      <w:bookmarkStart w:id="18" w:name="_Toc28359084"/>
      <w:bookmarkStart w:id="19" w:name="_Toc35393625"/>
      <w:bookmarkStart w:id="20" w:name="_Toc35393794"/>
      <w:r>
        <w:rPr>
          <w:rFonts w:hint="eastAsia" w:ascii="宋体" w:hAnsi="宋体"/>
          <w:b/>
          <w:sz w:val="21"/>
          <w:szCs w:val="21"/>
        </w:rPr>
        <w:t>五、开启</w:t>
      </w:r>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1.响应文件开启时间：</w:t>
      </w:r>
      <w:r>
        <w:rPr>
          <w:rFonts w:hint="eastAsia" w:ascii="宋体" w:hAnsi="宋体"/>
          <w:bCs/>
          <w:sz w:val="21"/>
          <w:szCs w:val="21"/>
          <w:lang w:eastAsia="zh-CN"/>
        </w:rPr>
        <w:t>2023年1月11日</w:t>
      </w:r>
      <w:r>
        <w:rPr>
          <w:rFonts w:hint="eastAsia" w:ascii="宋体" w:hAnsi="宋体"/>
          <w:bCs/>
          <w:sz w:val="21"/>
          <w:szCs w:val="21"/>
        </w:rPr>
        <w:t>9:</w:t>
      </w:r>
      <w:r>
        <w:rPr>
          <w:rFonts w:ascii="宋体" w:hAnsi="宋体"/>
          <w:bCs/>
          <w:sz w:val="21"/>
          <w:szCs w:val="21"/>
        </w:rPr>
        <w:t>0</w:t>
      </w:r>
      <w:r>
        <w:rPr>
          <w:rFonts w:hint="eastAsia" w:ascii="宋体" w:hAnsi="宋体"/>
          <w:bCs/>
          <w:sz w:val="21"/>
          <w:szCs w:val="21"/>
        </w:rPr>
        <w:t>0:00（北京时间）</w:t>
      </w:r>
    </w:p>
    <w:p>
      <w:pPr>
        <w:adjustRightInd w:val="0"/>
        <w:snapToGrid w:val="0"/>
        <w:spacing w:line="288" w:lineRule="auto"/>
        <w:ind w:firstLine="409" w:firstLineChars="195"/>
        <w:rPr>
          <w:rFonts w:hint="eastAsia" w:ascii="宋体" w:hAnsi="宋体" w:eastAsia="宋体"/>
          <w:bCs/>
          <w:sz w:val="21"/>
          <w:szCs w:val="21"/>
          <w:lang w:eastAsia="zh-CN"/>
        </w:rPr>
      </w:pPr>
      <w:r>
        <w:rPr>
          <w:rFonts w:hint="eastAsia" w:ascii="宋体" w:hAnsi="宋体"/>
          <w:bCs/>
          <w:sz w:val="21"/>
          <w:szCs w:val="21"/>
        </w:rPr>
        <w:t>2.地点：</w:t>
      </w:r>
      <w:r>
        <w:rPr>
          <w:rFonts w:hint="eastAsia" w:ascii="宋体" w:hAnsi="宋体"/>
          <w:bCs/>
          <w:sz w:val="21"/>
          <w:szCs w:val="21"/>
          <w:lang w:eastAsia="zh-CN"/>
        </w:rPr>
        <w:t>杭州市西湖区玉古路173号中田大厦21楼求是招标3号会议室</w:t>
      </w:r>
    </w:p>
    <w:p>
      <w:pPr>
        <w:adjustRightInd w:val="0"/>
        <w:snapToGrid w:val="0"/>
        <w:spacing w:line="288" w:lineRule="auto"/>
        <w:ind w:firstLine="200"/>
        <w:rPr>
          <w:rFonts w:ascii="宋体" w:hAnsi="宋体"/>
          <w:b/>
          <w:sz w:val="21"/>
          <w:szCs w:val="21"/>
        </w:rPr>
      </w:pPr>
      <w:r>
        <w:rPr>
          <w:rFonts w:hint="eastAsia" w:ascii="宋体" w:hAnsi="宋体"/>
          <w:b/>
          <w:sz w:val="21"/>
          <w:szCs w:val="21"/>
        </w:rPr>
        <w:t>六、公告期限</w:t>
      </w:r>
      <w:bookmarkEnd w:id="17"/>
      <w:bookmarkEnd w:id="18"/>
      <w:bookmarkEnd w:id="19"/>
      <w:bookmarkEnd w:id="20"/>
    </w:p>
    <w:p>
      <w:pPr>
        <w:adjustRightInd w:val="0"/>
        <w:snapToGrid w:val="0"/>
        <w:spacing w:line="288" w:lineRule="auto"/>
        <w:ind w:firstLine="420" w:firstLineChars="200"/>
        <w:rPr>
          <w:rFonts w:ascii="宋体" w:hAnsi="宋体"/>
          <w:kern w:val="0"/>
          <w:sz w:val="21"/>
          <w:szCs w:val="21"/>
        </w:rPr>
      </w:pPr>
      <w:r>
        <w:rPr>
          <w:rFonts w:hint="eastAsia" w:ascii="宋体" w:hAnsi="宋体"/>
          <w:kern w:val="0"/>
          <w:sz w:val="21"/>
          <w:szCs w:val="21"/>
        </w:rPr>
        <w:t>自本公告发布之日起3个工作日。</w:t>
      </w:r>
    </w:p>
    <w:p>
      <w:pPr>
        <w:adjustRightInd w:val="0"/>
        <w:snapToGrid w:val="0"/>
        <w:spacing w:line="288" w:lineRule="auto"/>
        <w:ind w:firstLine="211" w:firstLineChars="100"/>
        <w:rPr>
          <w:rFonts w:ascii="宋体" w:hAnsi="宋体"/>
          <w:b/>
          <w:sz w:val="21"/>
          <w:szCs w:val="21"/>
        </w:rPr>
      </w:pPr>
      <w:bookmarkStart w:id="21" w:name="_Toc35393795"/>
      <w:bookmarkStart w:id="22" w:name="_Toc35393626"/>
      <w:r>
        <w:rPr>
          <w:rFonts w:hint="eastAsia" w:ascii="宋体" w:hAnsi="宋体"/>
          <w:b/>
          <w:sz w:val="21"/>
          <w:szCs w:val="21"/>
        </w:rPr>
        <w:t>七、</w:t>
      </w:r>
      <w:bookmarkEnd w:id="21"/>
      <w:bookmarkEnd w:id="22"/>
      <w:r>
        <w:rPr>
          <w:rFonts w:hint="eastAsia" w:ascii="宋体" w:hAnsi="宋体"/>
          <w:b/>
          <w:sz w:val="21"/>
          <w:szCs w:val="21"/>
        </w:rPr>
        <w:t>其他补充事宜</w:t>
      </w:r>
    </w:p>
    <w:p>
      <w:pPr>
        <w:adjustRightInd w:val="0"/>
        <w:snapToGrid w:val="0"/>
        <w:spacing w:line="288" w:lineRule="auto"/>
        <w:ind w:firstLine="396" w:firstLineChars="200"/>
        <w:rPr>
          <w:rFonts w:ascii="宋体" w:hAnsi="宋体" w:cs="宋体"/>
          <w:spacing w:val="-6"/>
          <w:sz w:val="21"/>
          <w:szCs w:val="21"/>
        </w:rPr>
      </w:pPr>
      <w:r>
        <w:rPr>
          <w:rFonts w:ascii="宋体" w:hAnsi="宋体" w:cs="宋体"/>
          <w:spacing w:val="-6"/>
          <w:sz w:val="21"/>
          <w:szCs w:val="21"/>
        </w:rPr>
        <w:t>1.</w:t>
      </w:r>
      <w:r>
        <w:rPr>
          <w:rFonts w:hint="eastAsia" w:ascii="宋体" w:hAnsi="宋体" w:cs="宋体"/>
          <w:spacing w:val="-6"/>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cs="宋体"/>
          <w:spacing w:val="-6"/>
          <w:sz w:val="21"/>
          <w:szCs w:val="21"/>
        </w:rPr>
        <w:t>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396" w:firstLineChars="200"/>
        <w:rPr>
          <w:rFonts w:ascii="宋体" w:hAnsi="宋体" w:cs="宋体"/>
          <w:spacing w:val="-6"/>
          <w:sz w:val="21"/>
          <w:szCs w:val="21"/>
        </w:rPr>
      </w:pPr>
      <w:r>
        <w:rPr>
          <w:rFonts w:ascii="宋体" w:hAnsi="宋体" w:cs="宋体"/>
          <w:spacing w:val="-6"/>
          <w:sz w:val="21"/>
          <w:szCs w:val="21"/>
        </w:rPr>
        <w:t>2.需要落实的政府采购政策：包括保护环境、促进中小企业发展等。详见磋商文件的第</w:t>
      </w:r>
      <w:r>
        <w:rPr>
          <w:rFonts w:hint="eastAsia" w:ascii="宋体" w:hAnsi="宋体" w:cs="宋体"/>
          <w:spacing w:val="-6"/>
          <w:sz w:val="21"/>
          <w:szCs w:val="21"/>
        </w:rPr>
        <w:t>三章-采购项目需要落实的政府采购政策</w:t>
      </w:r>
      <w:r>
        <w:rPr>
          <w:rFonts w:ascii="宋体" w:hAnsi="宋体" w:cs="宋体"/>
          <w:spacing w:val="-6"/>
          <w:sz w:val="21"/>
          <w:szCs w:val="21"/>
        </w:rPr>
        <w:t>。</w:t>
      </w:r>
    </w:p>
    <w:p>
      <w:pPr>
        <w:adjustRightInd w:val="0"/>
        <w:snapToGrid w:val="0"/>
        <w:spacing w:line="288" w:lineRule="auto"/>
        <w:ind w:firstLine="396" w:firstLineChars="200"/>
        <w:rPr>
          <w:rFonts w:ascii="宋体" w:hAnsi="宋体" w:cs="宋体"/>
          <w:bCs/>
          <w:sz w:val="21"/>
          <w:szCs w:val="21"/>
        </w:rPr>
      </w:pPr>
      <w:r>
        <w:rPr>
          <w:rFonts w:hint="eastAsia" w:ascii="宋体" w:hAnsi="宋体" w:cs="宋体"/>
          <w:spacing w:val="-6"/>
          <w:sz w:val="21"/>
          <w:szCs w:val="21"/>
        </w:rPr>
        <w:t>▲3</w:t>
      </w:r>
      <w:r>
        <w:rPr>
          <w:rFonts w:ascii="宋体" w:hAnsi="宋体" w:cs="宋体"/>
          <w:spacing w:val="-6"/>
          <w:sz w:val="21"/>
          <w:szCs w:val="21"/>
        </w:rPr>
        <w:t>.</w:t>
      </w:r>
      <w:bookmarkStart w:id="23" w:name="_Hlk92271072"/>
      <w:r>
        <w:rPr>
          <w:rFonts w:ascii="宋体" w:hAnsi="宋体" w:cs="宋体"/>
          <w:spacing w:val="-6"/>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3"/>
    </w:p>
    <w:p>
      <w:pPr>
        <w:adjustRightInd w:val="0"/>
        <w:snapToGrid w:val="0"/>
        <w:spacing w:line="288" w:lineRule="auto"/>
        <w:ind w:firstLine="396" w:firstLineChars="200"/>
        <w:rPr>
          <w:rFonts w:ascii="宋体" w:hAnsi="宋体" w:cs="宋体"/>
          <w:spacing w:val="-6"/>
          <w:sz w:val="21"/>
          <w:szCs w:val="21"/>
        </w:rPr>
      </w:pPr>
      <w:bookmarkStart w:id="24" w:name="_Toc35393627"/>
      <w:bookmarkStart w:id="25" w:name="_Toc35393796"/>
      <w:bookmarkStart w:id="26" w:name="_Toc28359085"/>
      <w:bookmarkStart w:id="27" w:name="_Toc28359008"/>
      <w:r>
        <w:rPr>
          <w:rFonts w:hint="eastAsia" w:ascii="宋体" w:hAnsi="宋体" w:cs="宋体"/>
          <w:spacing w:val="-6"/>
          <w:sz w:val="21"/>
          <w:szCs w:val="21"/>
        </w:rPr>
        <w:t>4.为贯彻落实新型冠状病毒感染的肺炎疫情防控工作要求，按照“不见面、少接触”的原则，所有供应商不必到现场提交响应文件，响应文件可通过邮寄的方式递交。所有供应商须考虑物流等相关因素，合理计划邮寄时间，尽量在开标截止时间前一个工作日内送到指定地点。在响应文件提交截止时间后送达的，将被视为“逾期送达”。具体要求如下：</w:t>
      </w:r>
    </w:p>
    <w:p>
      <w:pPr>
        <w:adjustRightInd w:val="0"/>
        <w:snapToGrid w:val="0"/>
        <w:spacing w:line="288" w:lineRule="auto"/>
        <w:ind w:firstLine="398" w:firstLineChars="200"/>
        <w:rPr>
          <w:rFonts w:ascii="宋体" w:hAnsi="宋体" w:cs="宋体"/>
          <w:b/>
          <w:bCs/>
          <w:spacing w:val="-6"/>
          <w:sz w:val="21"/>
          <w:szCs w:val="21"/>
        </w:rPr>
      </w:pPr>
      <w:r>
        <w:rPr>
          <w:rFonts w:hint="eastAsia" w:ascii="宋体" w:hAnsi="宋体" w:cs="宋体"/>
          <w:b/>
          <w:bCs/>
          <w:spacing w:val="-6"/>
          <w:sz w:val="21"/>
          <w:szCs w:val="21"/>
        </w:rPr>
        <w:t>（1）邮寄地址：杭州市西湖区玉古路173号中田大厦21楼求是招标H室，浙江求是招标代理有限公司（王娜）收，电话：0571-87666119，寄出后将（快递单号、项目名称、公司名称、联系方式等相关信息）发至：zb01@qszb.net，以便查收）。</w:t>
      </w:r>
    </w:p>
    <w:p>
      <w:pPr>
        <w:adjustRightInd w:val="0"/>
        <w:snapToGrid w:val="0"/>
        <w:spacing w:line="288" w:lineRule="auto"/>
        <w:ind w:firstLine="398" w:firstLineChars="200"/>
        <w:rPr>
          <w:rFonts w:ascii="宋体" w:hAnsi="宋体" w:cs="宋体"/>
          <w:b/>
          <w:bCs/>
          <w:spacing w:val="-6"/>
          <w:sz w:val="21"/>
          <w:szCs w:val="21"/>
        </w:rPr>
      </w:pPr>
      <w:r>
        <w:rPr>
          <w:rFonts w:hint="eastAsia" w:ascii="宋体" w:hAnsi="宋体" w:cs="宋体"/>
          <w:b/>
          <w:bCs/>
          <w:spacing w:val="-6"/>
          <w:sz w:val="21"/>
          <w:szCs w:val="21"/>
        </w:rPr>
        <w:t>特别说明：双休日和法定节假日不收件，供应商自行承担邮寄风险。</w:t>
      </w:r>
    </w:p>
    <w:p>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请供应商确保响应文件在邮寄过程密封包装完好，因邮寄过程的密封破损造成不符合开标要求的，本招标代理及采购人概不负责。建议响应文件密封包装后邮寄时再进行外包装。供应商应对邮寄快递响应文件的完整性、密封性负责。</w:t>
      </w:r>
    </w:p>
    <w:p>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疫情防控期间，取消供应商在开标现场的书面签字确认等有关操作要求；评审现场如需要供应商澄清、说明等，均通过指定的电子邮箱（zb01@qszb.net）向供应商发送澄清、说明等通知，并要求在收到通知后半小时内以邮件形式作出澄清、说明等。</w:t>
      </w:r>
    </w:p>
    <w:p>
      <w:pPr>
        <w:adjustRightInd w:val="0"/>
        <w:snapToGrid w:val="0"/>
        <w:spacing w:line="288" w:lineRule="auto"/>
        <w:ind w:firstLine="200"/>
        <w:rPr>
          <w:rFonts w:ascii="宋体" w:hAnsi="宋体"/>
          <w:b/>
          <w:sz w:val="21"/>
          <w:szCs w:val="21"/>
        </w:rPr>
      </w:pPr>
      <w:r>
        <w:rPr>
          <w:rFonts w:hint="eastAsia" w:ascii="宋体" w:hAnsi="宋体"/>
          <w:b/>
          <w:sz w:val="21"/>
          <w:szCs w:val="21"/>
        </w:rPr>
        <w:t>八、</w:t>
      </w:r>
      <w:bookmarkEnd w:id="24"/>
      <w:bookmarkEnd w:id="25"/>
      <w:bookmarkEnd w:id="26"/>
      <w:bookmarkEnd w:id="27"/>
      <w:r>
        <w:rPr>
          <w:rFonts w:hint="eastAsia" w:ascii="宋体" w:hAnsi="宋体"/>
          <w:b/>
          <w:sz w:val="21"/>
          <w:szCs w:val="21"/>
        </w:rPr>
        <w:t>对本次采购提出询问，请按以下方式联系</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1.采购人信息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名称：浙江大学</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地址：浙江省杭州市西湖区余杭塘路866号</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采购项目联系人：刘涛</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采购项目联系方式：13606643906</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2.采购代理机构信息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名称：浙江求是招标代理有限公司</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地址：杭州市西湖区玉古路173号中田大厦21楼</w:t>
      </w:r>
    </w:p>
    <w:p>
      <w:pPr>
        <w:adjustRightInd w:val="0"/>
        <w:snapToGrid w:val="0"/>
        <w:spacing w:line="288" w:lineRule="auto"/>
        <w:ind w:firstLine="420" w:firstLineChars="200"/>
        <w:rPr>
          <w:rFonts w:ascii="宋体" w:hAnsi="宋体"/>
          <w:sz w:val="21"/>
          <w:szCs w:val="21"/>
        </w:rPr>
      </w:pPr>
      <w:bookmarkStart w:id="28" w:name="_Hlk72500549"/>
      <w:r>
        <w:rPr>
          <w:rFonts w:hint="eastAsia" w:ascii="宋体" w:hAnsi="宋体"/>
          <w:sz w:val="21"/>
          <w:szCs w:val="21"/>
        </w:rPr>
        <w:t>项目</w:t>
      </w:r>
      <w:bookmarkEnd w:id="28"/>
      <w:r>
        <w:rPr>
          <w:rFonts w:hint="eastAsia" w:ascii="宋体" w:hAnsi="宋体"/>
          <w:sz w:val="21"/>
          <w:szCs w:val="21"/>
        </w:rPr>
        <w:t>联系人：陈宵、王娜</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项目联系方式：0571-87666119</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质疑联系人：蒋敏芝</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质疑联系方式：0571-81110356</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质疑邮箱：jdkh@qszb.net</w:t>
      </w:r>
    </w:p>
    <w:p>
      <w:pPr>
        <w:widowControl/>
        <w:adjustRightInd w:val="0"/>
        <w:snapToGrid w:val="0"/>
        <w:spacing w:line="288" w:lineRule="auto"/>
        <w:ind w:right="62" w:firstLine="396" w:firstLineChars="200"/>
        <w:jc w:val="center"/>
        <w:outlineLvl w:val="0"/>
        <w:rPr>
          <w:rFonts w:ascii="宋体" w:hAnsi="宋体" w:cs="宋体"/>
          <w:spacing w:val="-6"/>
          <w:kern w:val="0"/>
          <w:sz w:val="32"/>
          <w:szCs w:val="32"/>
        </w:rPr>
      </w:pPr>
      <w:r>
        <w:rPr>
          <w:rFonts w:ascii="宋体" w:hAnsi="宋体" w:cs="宋体"/>
          <w:spacing w:val="-6"/>
          <w:kern w:val="0"/>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adjustRightInd w:val="0"/>
        <w:snapToGrid w:val="0"/>
        <w:spacing w:line="288" w:lineRule="auto"/>
        <w:outlineLvl w:val="1"/>
        <w:rPr>
          <w:rFonts w:ascii="宋体" w:hAnsi="宋体"/>
          <w:b/>
          <w:bCs/>
          <w:sz w:val="21"/>
          <w:szCs w:val="21"/>
        </w:rPr>
      </w:pPr>
      <w:r>
        <w:rPr>
          <w:rFonts w:hint="eastAsia" w:ascii="宋体" w:hAnsi="宋体"/>
          <w:b/>
          <w:bCs/>
          <w:sz w:val="21"/>
          <w:szCs w:val="21"/>
        </w:rPr>
        <w:t>一、为落实政府采购政策需满足的要求：</w:t>
      </w:r>
    </w:p>
    <w:tbl>
      <w:tblPr>
        <w:tblStyle w:val="2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bookmarkStart w:id="29" w:name="_Hlk45005599"/>
            <w:r>
              <w:rPr>
                <w:rFonts w:hint="eastAsia" w:ascii="宋体" w:hAnsi="宋体" w:cs="宋体"/>
                <w:b/>
                <w:bCs/>
                <w:sz w:val="21"/>
                <w:szCs w:val="21"/>
              </w:rPr>
              <w:t>序号</w:t>
            </w:r>
          </w:p>
        </w:tc>
        <w:tc>
          <w:tcPr>
            <w:tcW w:w="325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1</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政府采购促进中小企业发展</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提供材料详见磋商文件第六章“</w:t>
            </w:r>
            <w:r>
              <w:rPr>
                <w:rFonts w:hint="eastAsia" w:ascii="宋体" w:hAnsi="宋体" w:cs="宋体"/>
                <w:sz w:val="21"/>
                <w:szCs w:val="21"/>
                <w:lang w:val="en-US" w:eastAsia="zh-CN"/>
              </w:rPr>
              <w:t>资格</w:t>
            </w:r>
            <w:r>
              <w:rPr>
                <w:rFonts w:hint="eastAsia" w:ascii="宋体" w:hAnsi="宋体" w:cs="宋体"/>
                <w:sz w:val="21"/>
                <w:szCs w:val="21"/>
              </w:rPr>
              <w:t>文件”</w:t>
            </w:r>
          </w:p>
          <w:p>
            <w:pPr>
              <w:adjustRightInd w:val="0"/>
              <w:snapToGrid w:val="0"/>
              <w:spacing w:line="288" w:lineRule="auto"/>
              <w:jc w:val="left"/>
              <w:rPr>
                <w:rFonts w:ascii="宋体" w:hAnsi="宋体"/>
                <w:b/>
                <w:bCs/>
                <w:sz w:val="21"/>
                <w:szCs w:val="21"/>
              </w:rPr>
            </w:pPr>
            <w:r>
              <w:rPr>
                <w:rFonts w:hint="eastAsia" w:ascii="宋体" w:hAnsi="宋体"/>
                <w:b/>
                <w:bCs/>
                <w:sz w:val="21"/>
                <w:szCs w:val="21"/>
              </w:rPr>
              <w:t>本项目属性为：服务</w:t>
            </w:r>
          </w:p>
          <w:p>
            <w:pPr>
              <w:adjustRightInd w:val="0"/>
              <w:snapToGrid w:val="0"/>
              <w:spacing w:line="288" w:lineRule="auto"/>
              <w:jc w:val="left"/>
              <w:rPr>
                <w:rFonts w:ascii="宋体" w:hAnsi="宋体"/>
                <w:b/>
                <w:bCs/>
                <w:sz w:val="21"/>
                <w:szCs w:val="21"/>
              </w:rPr>
            </w:pPr>
            <w:r>
              <w:rPr>
                <w:rFonts w:hint="eastAsia" w:ascii="宋体" w:hAnsi="宋体"/>
                <w:b/>
                <w:bCs/>
                <w:sz w:val="21"/>
                <w:szCs w:val="21"/>
              </w:rPr>
              <w:t>采购标的对应的中小企业划分标准所属行业：其他未列明行业</w:t>
            </w:r>
          </w:p>
          <w:p>
            <w:pPr>
              <w:adjustRightInd w:val="0"/>
              <w:snapToGrid w:val="0"/>
              <w:spacing w:line="288" w:lineRule="auto"/>
              <w:jc w:val="left"/>
              <w:rPr>
                <w:rFonts w:ascii="宋体" w:hAnsi="宋体" w:cs="宋体"/>
                <w:b/>
                <w:bCs/>
                <w:sz w:val="21"/>
                <w:szCs w:val="21"/>
              </w:rPr>
            </w:pPr>
            <w:r>
              <w:rPr>
                <w:rFonts w:hint="eastAsia" w:ascii="宋体" w:hAnsi="宋体"/>
                <w:b/>
                <w:bCs/>
                <w:sz w:val="21"/>
                <w:szCs w:val="21"/>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2</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政府采购支持监狱企业发展</w:t>
            </w:r>
          </w:p>
        </w:tc>
        <w:tc>
          <w:tcPr>
            <w:tcW w:w="5529" w:type="dxa"/>
            <w:vAlign w:val="center"/>
          </w:tcPr>
          <w:p>
            <w:pPr>
              <w:adjustRightInd w:val="0"/>
              <w:snapToGrid w:val="0"/>
              <w:spacing w:line="288" w:lineRule="auto"/>
              <w:jc w:val="left"/>
              <w:rPr>
                <w:rFonts w:ascii="宋体" w:hAnsi="宋体"/>
                <w:b/>
                <w:bCs/>
                <w:sz w:val="21"/>
                <w:szCs w:val="21"/>
              </w:rPr>
            </w:pPr>
            <w:r>
              <w:rPr>
                <w:rFonts w:hint="eastAsia" w:ascii="宋体" w:hAnsi="宋体" w:cs="宋体"/>
                <w:sz w:val="21"/>
                <w:szCs w:val="21"/>
              </w:rPr>
              <w:t>提供材料详见磋商文件第六章“</w:t>
            </w:r>
            <w:r>
              <w:rPr>
                <w:rFonts w:hint="eastAsia" w:ascii="宋体" w:hAnsi="宋体" w:cs="宋体"/>
                <w:sz w:val="21"/>
                <w:szCs w:val="21"/>
                <w:lang w:val="en-US" w:eastAsia="zh-CN"/>
              </w:rPr>
              <w:t>资格</w:t>
            </w:r>
            <w:r>
              <w:rPr>
                <w:rFonts w:hint="eastAsia" w:ascii="宋体" w:hAnsi="宋体" w:cs="宋体"/>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3</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政府采购促进残疾人就业</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提供材料详见磋商文件第六章“</w:t>
            </w:r>
            <w:r>
              <w:rPr>
                <w:rFonts w:hint="eastAsia" w:ascii="宋体" w:hAnsi="宋体" w:cs="宋体"/>
                <w:sz w:val="21"/>
                <w:szCs w:val="21"/>
                <w:lang w:val="en-US" w:eastAsia="zh-CN"/>
              </w:rPr>
              <w:t>资格</w:t>
            </w:r>
            <w:r>
              <w:rPr>
                <w:rFonts w:hint="eastAsia" w:ascii="宋体" w:hAnsi="宋体" w:cs="宋体"/>
                <w:sz w:val="21"/>
                <w:szCs w:val="21"/>
              </w:rPr>
              <w:t>文件”</w:t>
            </w:r>
          </w:p>
        </w:tc>
      </w:tr>
      <w:bookmarkEnd w:id="29"/>
    </w:tbl>
    <w:p>
      <w:pPr>
        <w:adjustRightInd w:val="0"/>
        <w:snapToGrid w:val="0"/>
        <w:spacing w:line="288" w:lineRule="auto"/>
        <w:rPr>
          <w:rFonts w:ascii="宋体" w:hAnsi="宋体"/>
          <w:b/>
          <w:sz w:val="21"/>
          <w:szCs w:val="21"/>
        </w:rPr>
      </w:pP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1"/>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bookmarkStart w:id="30" w:name="_Hlk45005608"/>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cs="宋体"/>
                <w:spacing w:val="-6"/>
                <w:kern w:val="0"/>
                <w:sz w:val="21"/>
                <w:szCs w:val="21"/>
                <w:highlight w:val="yellow"/>
              </w:rPr>
            </w:pPr>
            <w:r>
              <w:rPr>
                <w:rFonts w:hint="eastAsia" w:ascii="宋体" w:hAnsi="宋体" w:cs="宋体"/>
                <w:spacing w:val="-6"/>
                <w:kern w:val="0"/>
                <w:sz w:val="21"/>
                <w:szCs w:val="21"/>
              </w:rPr>
              <w:t>1、货款支付方式：</w:t>
            </w:r>
            <w:r>
              <w:rPr>
                <w:rFonts w:hint="eastAsia" w:ascii="宋体" w:hAnsi="宋体"/>
                <w:sz w:val="21"/>
                <w:szCs w:val="21"/>
              </w:rPr>
              <w:t>合同签订后，用户支付50%合同金额给成交供应商，项目完成验收通过后支付剩余50%。</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2、货款的结算：</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开票信息：开具增值税专用发票；</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抬头：浙江大学</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纳税人识别号：12100000470095016Q</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地址：杭州市余杭塘路866号，电话88981919</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开户行：农行杭州市浙大支行紫金港支行</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账号：19042201040000014</w:t>
            </w:r>
          </w:p>
          <w:p>
            <w:pPr>
              <w:autoSpaceDE w:val="0"/>
              <w:autoSpaceDN w:val="0"/>
              <w:adjustRightInd w:val="0"/>
              <w:snapToGrid w:val="0"/>
              <w:spacing w:line="288" w:lineRule="auto"/>
              <w:jc w:val="left"/>
              <w:rPr>
                <w:rFonts w:ascii="宋体" w:hAnsi="宋体" w:cs="宋体"/>
                <w:spacing w:val="-6"/>
                <w:kern w:val="0"/>
                <w:sz w:val="21"/>
                <w:szCs w:val="21"/>
                <w:highlight w:val="yellow"/>
              </w:rPr>
            </w:pPr>
            <w:r>
              <w:rPr>
                <w:rFonts w:hint="eastAsia" w:ascii="宋体" w:hAnsi="宋体" w:cs="宋体"/>
                <w:spacing w:val="-6"/>
                <w:kern w:val="0"/>
                <w:sz w:val="21"/>
                <w:szCs w:val="21"/>
              </w:rPr>
              <w:t>行号：103331004223</w:t>
            </w:r>
          </w:p>
        </w:tc>
      </w:tr>
      <w:bookmarkEnd w:id="30"/>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rPr>
          <w:rFonts w:ascii="宋体" w:hAnsi="宋体"/>
          <w:b/>
          <w:bCs/>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p>
    <w:p>
      <w:pPr>
        <w:spacing w:line="288" w:lineRule="auto"/>
        <w:rPr>
          <w:rFonts w:ascii="宋体" w:hAnsi="宋体" w:cs="宋体"/>
          <w:sz w:val="21"/>
          <w:szCs w:val="21"/>
        </w:rPr>
      </w:pPr>
      <w:r>
        <w:rPr>
          <w:rFonts w:hint="eastAsia" w:ascii="宋体" w:hAnsi="宋体" w:cs="宋体"/>
          <w:b/>
          <w:kern w:val="24"/>
          <w:sz w:val="21"/>
          <w:szCs w:val="21"/>
        </w:rPr>
        <w:t>1、采购需求</w:t>
      </w:r>
    </w:p>
    <w:tbl>
      <w:tblPr>
        <w:tblStyle w:val="21"/>
        <w:tblW w:w="493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1"/>
        <w:gridCol w:w="2361"/>
        <w:gridCol w:w="2636"/>
        <w:gridCol w:w="1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37" w:type="pct"/>
            <w:vAlign w:val="center"/>
          </w:tcPr>
          <w:p>
            <w:pPr>
              <w:snapToGrid w:val="0"/>
              <w:spacing w:line="288" w:lineRule="auto"/>
              <w:jc w:val="center"/>
              <w:rPr>
                <w:rFonts w:ascii="宋体" w:hAnsi="宋体" w:cs="宋体"/>
                <w:b/>
                <w:bCs/>
                <w:sz w:val="21"/>
                <w:szCs w:val="21"/>
              </w:rPr>
            </w:pPr>
            <w:r>
              <w:rPr>
                <w:rFonts w:hint="eastAsia" w:ascii="宋体" w:hAnsi="宋体" w:cs="宋体"/>
                <w:b/>
                <w:bCs/>
                <w:sz w:val="21"/>
                <w:szCs w:val="21"/>
              </w:rPr>
              <w:t>品目名称</w:t>
            </w:r>
          </w:p>
        </w:tc>
        <w:tc>
          <w:tcPr>
            <w:tcW w:w="1242" w:type="pct"/>
            <w:vAlign w:val="center"/>
          </w:tcPr>
          <w:p>
            <w:pPr>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1387" w:type="pct"/>
            <w:vAlign w:val="center"/>
          </w:tcPr>
          <w:p>
            <w:pPr>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933" w:type="pct"/>
            <w:vAlign w:val="center"/>
          </w:tcPr>
          <w:p>
            <w:pPr>
              <w:snapToGrid w:val="0"/>
              <w:spacing w:line="288" w:lineRule="auto"/>
              <w:jc w:val="center"/>
              <w:rPr>
                <w:rFonts w:ascii="宋体" w:hAnsi="宋体" w:cs="宋体"/>
                <w:b/>
                <w:bCs/>
                <w:sz w:val="21"/>
                <w:szCs w:val="21"/>
              </w:rPr>
            </w:pPr>
            <w:r>
              <w:rPr>
                <w:rFonts w:hint="eastAsia" w:ascii="宋体" w:hAnsi="宋体" w:cs="宋体"/>
                <w:b/>
                <w:bCs/>
                <w:sz w:val="21"/>
                <w:szCs w:val="21"/>
              </w:rPr>
              <w:t>交货地点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37" w:type="pct"/>
            <w:vAlign w:val="center"/>
          </w:tcPr>
          <w:p>
            <w:pPr>
              <w:snapToGrid w:val="0"/>
              <w:spacing w:line="288" w:lineRule="auto"/>
              <w:jc w:val="center"/>
              <w:rPr>
                <w:rFonts w:ascii="宋体" w:hAnsi="宋体" w:cs="宋体"/>
                <w:sz w:val="21"/>
                <w:szCs w:val="21"/>
              </w:rPr>
            </w:pPr>
            <w:r>
              <w:rPr>
                <w:rFonts w:hint="eastAsia" w:ascii="宋体" w:hAnsi="宋体" w:cs="宋体"/>
                <w:sz w:val="21"/>
                <w:szCs w:val="21"/>
              </w:rPr>
              <w:t>标准机柜托管服务</w:t>
            </w:r>
          </w:p>
        </w:tc>
        <w:tc>
          <w:tcPr>
            <w:tcW w:w="1242" w:type="pct"/>
            <w:vAlign w:val="center"/>
          </w:tcPr>
          <w:p>
            <w:pPr>
              <w:snapToGrid w:val="0"/>
              <w:spacing w:line="288" w:lineRule="auto"/>
              <w:jc w:val="center"/>
              <w:rPr>
                <w:rFonts w:ascii="宋体" w:hAnsi="宋体" w:cs="宋体"/>
                <w:sz w:val="21"/>
                <w:szCs w:val="21"/>
              </w:rPr>
            </w:pPr>
            <w:r>
              <w:rPr>
                <w:rFonts w:hint="eastAsia" w:ascii="宋体" w:hAnsi="宋体" w:cs="宋体"/>
                <w:sz w:val="21"/>
                <w:szCs w:val="21"/>
              </w:rPr>
              <w:t>32个*1年</w:t>
            </w:r>
          </w:p>
        </w:tc>
        <w:tc>
          <w:tcPr>
            <w:tcW w:w="1387" w:type="pct"/>
            <w:vAlign w:val="center"/>
          </w:tcPr>
          <w:p>
            <w:pPr>
              <w:snapToGrid w:val="0"/>
              <w:spacing w:line="288" w:lineRule="auto"/>
              <w:jc w:val="center"/>
              <w:rPr>
                <w:rFonts w:ascii="宋体" w:hAnsi="宋体" w:cs="宋体"/>
                <w:sz w:val="21"/>
                <w:szCs w:val="21"/>
              </w:rPr>
            </w:pPr>
            <w:r>
              <w:rPr>
                <w:rFonts w:hint="eastAsia" w:ascii="宋体" w:hAnsi="宋体" w:cs="宋体"/>
                <w:sz w:val="21"/>
                <w:szCs w:val="21"/>
              </w:rPr>
              <w:t>合同签订1周内</w:t>
            </w:r>
          </w:p>
        </w:tc>
        <w:tc>
          <w:tcPr>
            <w:tcW w:w="933" w:type="pct"/>
            <w:vAlign w:val="center"/>
          </w:tcPr>
          <w:p>
            <w:pPr>
              <w:snapToGrid w:val="0"/>
              <w:spacing w:line="288" w:lineRule="auto"/>
              <w:jc w:val="center"/>
              <w:rPr>
                <w:rFonts w:ascii="宋体" w:hAnsi="宋体" w:cs="宋体"/>
                <w:sz w:val="21"/>
                <w:szCs w:val="21"/>
              </w:rPr>
            </w:pPr>
            <w:r>
              <w:rPr>
                <w:rFonts w:hint="eastAsia" w:ascii="宋体" w:hAnsi="宋体" w:cs="宋体"/>
                <w:sz w:val="21"/>
                <w:szCs w:val="21"/>
              </w:rPr>
              <w:t>杭州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37" w:type="pct"/>
            <w:vAlign w:val="center"/>
          </w:tcPr>
          <w:p>
            <w:pPr>
              <w:snapToGrid w:val="0"/>
              <w:spacing w:line="288" w:lineRule="auto"/>
              <w:jc w:val="center"/>
              <w:rPr>
                <w:rFonts w:ascii="宋体" w:hAnsi="宋体" w:cs="宋体"/>
                <w:sz w:val="21"/>
                <w:szCs w:val="21"/>
              </w:rPr>
            </w:pPr>
            <w:r>
              <w:rPr>
                <w:rFonts w:hint="eastAsia" w:ascii="宋体" w:hAnsi="宋体" w:cs="宋体"/>
                <w:sz w:val="21"/>
                <w:szCs w:val="21"/>
              </w:rPr>
              <w:t>互联网带宽三线100M</w:t>
            </w:r>
          </w:p>
        </w:tc>
        <w:tc>
          <w:tcPr>
            <w:tcW w:w="1242" w:type="pct"/>
            <w:vAlign w:val="center"/>
          </w:tcPr>
          <w:p>
            <w:pPr>
              <w:snapToGrid w:val="0"/>
              <w:spacing w:line="288" w:lineRule="auto"/>
              <w:jc w:val="center"/>
              <w:rPr>
                <w:rFonts w:ascii="宋体" w:hAnsi="宋体" w:cs="宋体"/>
                <w:sz w:val="21"/>
                <w:szCs w:val="21"/>
              </w:rPr>
            </w:pPr>
            <w:r>
              <w:rPr>
                <w:rFonts w:hint="eastAsia" w:ascii="宋体" w:hAnsi="宋体" w:cs="宋体"/>
                <w:sz w:val="21"/>
                <w:szCs w:val="21"/>
              </w:rPr>
              <w:t>100M*1年</w:t>
            </w:r>
          </w:p>
        </w:tc>
        <w:tc>
          <w:tcPr>
            <w:tcW w:w="1387" w:type="pct"/>
            <w:vAlign w:val="center"/>
          </w:tcPr>
          <w:p>
            <w:pPr>
              <w:snapToGrid w:val="0"/>
              <w:spacing w:line="288" w:lineRule="auto"/>
              <w:jc w:val="center"/>
              <w:rPr>
                <w:rFonts w:ascii="宋体" w:hAnsi="宋体" w:cs="宋体"/>
                <w:sz w:val="21"/>
                <w:szCs w:val="21"/>
              </w:rPr>
            </w:pPr>
            <w:r>
              <w:rPr>
                <w:rFonts w:hint="eastAsia" w:ascii="宋体" w:hAnsi="宋体" w:cs="宋体"/>
                <w:sz w:val="21"/>
                <w:szCs w:val="21"/>
              </w:rPr>
              <w:t>合同签订1周内</w:t>
            </w:r>
          </w:p>
        </w:tc>
        <w:tc>
          <w:tcPr>
            <w:tcW w:w="933" w:type="pct"/>
            <w:vAlign w:val="center"/>
          </w:tcPr>
          <w:p>
            <w:pPr>
              <w:snapToGrid w:val="0"/>
              <w:spacing w:line="288" w:lineRule="auto"/>
              <w:jc w:val="center"/>
              <w:rPr>
                <w:rFonts w:ascii="宋体" w:hAnsi="宋体" w:cs="宋体"/>
                <w:sz w:val="21"/>
                <w:szCs w:val="21"/>
              </w:rPr>
            </w:pPr>
            <w:r>
              <w:rPr>
                <w:rFonts w:hint="eastAsia" w:ascii="宋体" w:hAnsi="宋体" w:cs="宋体"/>
                <w:sz w:val="21"/>
                <w:szCs w:val="21"/>
              </w:rPr>
              <w:t>杭州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37" w:type="pct"/>
            <w:vAlign w:val="center"/>
          </w:tcPr>
          <w:p>
            <w:pPr>
              <w:snapToGrid w:val="0"/>
              <w:spacing w:line="288" w:lineRule="auto"/>
              <w:jc w:val="center"/>
              <w:rPr>
                <w:rFonts w:ascii="宋体" w:hAnsi="宋体" w:cs="宋体"/>
                <w:sz w:val="21"/>
                <w:szCs w:val="21"/>
              </w:rPr>
            </w:pPr>
            <w:r>
              <w:rPr>
                <w:rFonts w:hint="eastAsia" w:ascii="宋体" w:hAnsi="宋体" w:cs="宋体"/>
                <w:sz w:val="21"/>
                <w:szCs w:val="21"/>
              </w:rPr>
              <w:t>独立IP</w:t>
            </w:r>
          </w:p>
        </w:tc>
        <w:tc>
          <w:tcPr>
            <w:tcW w:w="1242" w:type="pct"/>
            <w:vAlign w:val="center"/>
          </w:tcPr>
          <w:p>
            <w:pPr>
              <w:snapToGrid w:val="0"/>
              <w:spacing w:line="288" w:lineRule="auto"/>
              <w:jc w:val="center"/>
              <w:rPr>
                <w:rFonts w:ascii="宋体" w:hAnsi="宋体" w:cs="宋体"/>
                <w:sz w:val="21"/>
                <w:szCs w:val="21"/>
              </w:rPr>
            </w:pPr>
            <w:r>
              <w:rPr>
                <w:rFonts w:hint="eastAsia" w:ascii="宋体" w:hAnsi="宋体" w:cs="宋体"/>
                <w:sz w:val="21"/>
                <w:szCs w:val="21"/>
              </w:rPr>
              <w:t>32个*1年</w:t>
            </w:r>
          </w:p>
        </w:tc>
        <w:tc>
          <w:tcPr>
            <w:tcW w:w="1387" w:type="pct"/>
            <w:vAlign w:val="center"/>
          </w:tcPr>
          <w:p>
            <w:pPr>
              <w:snapToGrid w:val="0"/>
              <w:spacing w:line="288" w:lineRule="auto"/>
              <w:jc w:val="center"/>
              <w:rPr>
                <w:rFonts w:ascii="宋体" w:hAnsi="宋体" w:cs="宋体"/>
                <w:sz w:val="21"/>
                <w:szCs w:val="21"/>
              </w:rPr>
            </w:pPr>
            <w:r>
              <w:rPr>
                <w:rFonts w:hint="eastAsia" w:ascii="宋体" w:hAnsi="宋体" w:cs="宋体"/>
                <w:sz w:val="21"/>
                <w:szCs w:val="21"/>
              </w:rPr>
              <w:t>合同签订1周内</w:t>
            </w:r>
          </w:p>
        </w:tc>
        <w:tc>
          <w:tcPr>
            <w:tcW w:w="933" w:type="pct"/>
            <w:vAlign w:val="center"/>
          </w:tcPr>
          <w:p>
            <w:pPr>
              <w:snapToGrid w:val="0"/>
              <w:spacing w:line="288" w:lineRule="auto"/>
              <w:jc w:val="center"/>
              <w:rPr>
                <w:rFonts w:ascii="宋体" w:hAnsi="宋体" w:cs="宋体"/>
                <w:sz w:val="21"/>
                <w:szCs w:val="21"/>
              </w:rPr>
            </w:pPr>
            <w:r>
              <w:rPr>
                <w:rFonts w:hint="eastAsia" w:ascii="宋体" w:hAnsi="宋体" w:cs="宋体"/>
                <w:sz w:val="21"/>
                <w:szCs w:val="21"/>
              </w:rPr>
              <w:t>杭州</w:t>
            </w:r>
          </w:p>
        </w:tc>
      </w:tr>
    </w:tbl>
    <w:p>
      <w:pPr>
        <w:adjustRightInd w:val="0"/>
        <w:snapToGrid w:val="0"/>
        <w:spacing w:line="288" w:lineRule="auto"/>
        <w:rPr>
          <w:rFonts w:ascii="宋体" w:hAnsi="宋体"/>
          <w:sz w:val="21"/>
          <w:szCs w:val="21"/>
        </w:rPr>
      </w:pPr>
      <w:bookmarkStart w:id="31" w:name="_Toc228595677"/>
      <w:r>
        <w:rPr>
          <w:rFonts w:hint="eastAsia" w:ascii="宋体" w:hAnsi="宋体"/>
          <w:sz w:val="21"/>
          <w:szCs w:val="21"/>
        </w:rPr>
        <w:t>项目技术联系人：刘老师，13606643906</w:t>
      </w:r>
    </w:p>
    <w:p>
      <w:pPr>
        <w:spacing w:line="288" w:lineRule="auto"/>
        <w:rPr>
          <w:rFonts w:ascii="宋体" w:hAnsi="宋体" w:cs="宋体"/>
          <w:b/>
          <w:kern w:val="24"/>
          <w:sz w:val="21"/>
          <w:szCs w:val="21"/>
        </w:rPr>
      </w:pPr>
      <w:bookmarkStart w:id="32" w:name="_Toc256719014"/>
      <w:r>
        <w:rPr>
          <w:rFonts w:hint="eastAsia" w:ascii="宋体" w:hAnsi="宋体" w:cs="宋体"/>
          <w:b/>
          <w:kern w:val="24"/>
          <w:sz w:val="21"/>
          <w:szCs w:val="21"/>
        </w:rPr>
        <w:t>2、技术</w:t>
      </w:r>
      <w:bookmarkEnd w:id="31"/>
      <w:bookmarkEnd w:id="32"/>
      <w:r>
        <w:rPr>
          <w:rFonts w:hint="eastAsia" w:ascii="宋体" w:hAnsi="宋体" w:cs="宋体"/>
          <w:b/>
          <w:kern w:val="24"/>
          <w:sz w:val="21"/>
          <w:szCs w:val="21"/>
        </w:rPr>
        <w:t>需求</w:t>
      </w:r>
    </w:p>
    <w:p>
      <w:pPr>
        <w:spacing w:line="288" w:lineRule="auto"/>
        <w:rPr>
          <w:rFonts w:ascii="宋体" w:hAnsi="宋体" w:cs="宋体"/>
          <w:b/>
          <w:kern w:val="24"/>
          <w:sz w:val="21"/>
          <w:szCs w:val="21"/>
        </w:rPr>
      </w:pPr>
      <w:bookmarkStart w:id="33" w:name="_Toc228595678"/>
      <w:bookmarkStart w:id="34" w:name="_Toc256719015"/>
      <w:r>
        <w:rPr>
          <w:rFonts w:hint="eastAsia" w:ascii="宋体" w:hAnsi="宋体" w:cs="宋体"/>
          <w:b/>
          <w:kern w:val="24"/>
          <w:sz w:val="21"/>
          <w:szCs w:val="21"/>
        </w:rPr>
        <w:t>2.1、总体要求</w:t>
      </w:r>
      <w:bookmarkEnd w:id="33"/>
      <w:bookmarkEnd w:id="34"/>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（1）需提供至少容纳32个机柜的连续空间，并具有良好的扩展空间，以满足以后托管机柜数量增加的需要。</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（2）机房配电、温度、湿度、通风、除尘、安全、消防等指标提供良好保障，要求达高于国际T3机房标准。</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（3）机房采用2路或以上电力专线从不同变电所输入，机房配电、UPS、发电机、空调需设计备份，不接受有单点故障存在的机房。</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（4）机房提供的机柜空间使用由浙江大学图书馆自行规划最大限度安放设备，供应商需保障电力以及电源插座数量。</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（5）机房距离浙江大学图书馆行车距离不超过20公里，以保证特殊情况，技术人员快速到达机房，进行维护。</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（6）机房具备多线路接入资源，有BGP资源择优，满足浙江大学图书馆后期扩容需要，及业务的灵活调配。</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 xml:space="preserve">（7）机房属于公司自建机房，最大程度满足后期服务保障、灵活性。 </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（8）可根据用户需求，提供搬迁应急技术支持及意外事件处理预案。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（9）机房在前三年营运过程中，无重大运维及以上故障。</w:t>
      </w:r>
    </w:p>
    <w:p>
      <w:pPr>
        <w:keepNext/>
        <w:keepLines/>
        <w:tabs>
          <w:tab w:val="left" w:pos="720"/>
        </w:tabs>
        <w:spacing w:line="288" w:lineRule="auto"/>
        <w:outlineLvl w:val="1"/>
        <w:rPr>
          <w:rFonts w:ascii="宋体" w:hAnsi="宋体" w:cs="宋体"/>
          <w:b/>
          <w:bCs/>
          <w:sz w:val="21"/>
          <w:szCs w:val="21"/>
        </w:rPr>
      </w:pPr>
      <w:bookmarkStart w:id="35" w:name="_Toc256719016"/>
      <w:bookmarkStart w:id="36" w:name="_Toc228595679"/>
      <w:r>
        <w:rPr>
          <w:rFonts w:hint="eastAsia" w:ascii="宋体" w:hAnsi="宋体" w:cs="宋体"/>
          <w:b/>
          <w:bCs/>
          <w:sz w:val="21"/>
          <w:szCs w:val="21"/>
        </w:rPr>
        <w:t>2.2、供应商要求</w:t>
      </w:r>
      <w:bookmarkEnd w:id="35"/>
      <w:bookmarkEnd w:id="36"/>
    </w:p>
    <w:p>
      <w:pPr>
        <w:spacing w:line="288" w:lineRule="auto"/>
        <w:ind w:firstLine="480"/>
        <w:rPr>
          <w:rFonts w:ascii="宋体" w:hAnsi="宋体" w:cs="宋体"/>
          <w:sz w:val="21"/>
          <w:szCs w:val="21"/>
        </w:rPr>
      </w:pPr>
      <w:r>
        <w:rPr>
          <w:rFonts w:hint="eastAsia" w:ascii="宋体" w:hAnsi="宋体" w:cs="宋体"/>
          <w:sz w:val="21"/>
          <w:szCs w:val="21"/>
        </w:rPr>
        <w:t>（1）供应商应对IDC服务提供SLA保证，最大限度保证客户的利益；</w:t>
      </w:r>
    </w:p>
    <w:p>
      <w:pPr>
        <w:spacing w:line="288" w:lineRule="auto"/>
        <w:ind w:firstLine="480"/>
        <w:rPr>
          <w:rFonts w:ascii="宋体" w:hAnsi="宋体" w:cs="宋体"/>
          <w:sz w:val="21"/>
          <w:szCs w:val="21"/>
        </w:rPr>
      </w:pPr>
      <w:r>
        <w:rPr>
          <w:rFonts w:hint="eastAsia" w:ascii="宋体" w:hAnsi="宋体" w:cs="宋体"/>
          <w:sz w:val="21"/>
          <w:szCs w:val="21"/>
        </w:rPr>
        <w:t>（2）供应商应具有IDC运营经验，具有提供国际标准优质服务的能力；</w:t>
      </w:r>
    </w:p>
    <w:p>
      <w:pPr>
        <w:spacing w:line="288" w:lineRule="auto"/>
        <w:ind w:firstLine="480"/>
        <w:rPr>
          <w:rFonts w:ascii="宋体" w:hAnsi="宋体" w:cs="宋体"/>
          <w:sz w:val="21"/>
          <w:szCs w:val="21"/>
        </w:rPr>
      </w:pPr>
      <w:r>
        <w:rPr>
          <w:rFonts w:hint="eastAsia" w:ascii="宋体" w:hAnsi="宋体" w:cs="宋体"/>
          <w:sz w:val="21"/>
          <w:szCs w:val="21"/>
        </w:rPr>
        <w:t>（3）供应商应拥有类似互联网数据存储应用类客户以及政府项目类客户，在标书中提供案例合同复印件，具备大客户的运维经验与完善的管理机制；</w:t>
      </w:r>
    </w:p>
    <w:p>
      <w:pPr>
        <w:spacing w:line="288" w:lineRule="auto"/>
        <w:ind w:firstLine="480"/>
        <w:rPr>
          <w:rFonts w:ascii="宋体" w:hAnsi="宋体" w:cs="宋体"/>
          <w:sz w:val="21"/>
          <w:szCs w:val="21"/>
        </w:rPr>
      </w:pPr>
      <w:r>
        <w:rPr>
          <w:rFonts w:hint="eastAsia" w:ascii="宋体" w:hAnsi="宋体" w:cs="宋体"/>
          <w:sz w:val="21"/>
          <w:szCs w:val="21"/>
        </w:rPr>
        <w:t>（4）供应商应对IDC机房的电源供应提供良好保障，提供高压双路供电和UPS以及柴油发电机系统，保证持续电力供应每月在99.99%以上；</w:t>
      </w:r>
    </w:p>
    <w:p>
      <w:pPr>
        <w:spacing w:line="288" w:lineRule="auto"/>
        <w:ind w:firstLine="480"/>
        <w:rPr>
          <w:rFonts w:ascii="宋体" w:hAnsi="宋体" w:cs="宋体"/>
          <w:sz w:val="21"/>
          <w:szCs w:val="21"/>
        </w:rPr>
      </w:pPr>
      <w:r>
        <w:rPr>
          <w:rFonts w:hint="eastAsia" w:ascii="宋体" w:hAnsi="宋体" w:cs="宋体"/>
          <w:sz w:val="21"/>
          <w:szCs w:val="21"/>
        </w:rPr>
        <w:t>（5）供应商应对IDC机房温度、湿度、通风、除尘等指标提供良好保障，并实时监测机房环境；</w:t>
      </w:r>
    </w:p>
    <w:p>
      <w:pPr>
        <w:spacing w:line="288" w:lineRule="auto"/>
        <w:ind w:firstLine="480"/>
        <w:rPr>
          <w:rFonts w:ascii="宋体" w:hAnsi="宋体" w:cs="宋体"/>
          <w:sz w:val="21"/>
          <w:szCs w:val="21"/>
        </w:rPr>
      </w:pPr>
      <w:r>
        <w:rPr>
          <w:rFonts w:hint="eastAsia" w:ascii="宋体" w:hAnsi="宋体" w:cs="宋体"/>
          <w:sz w:val="21"/>
          <w:szCs w:val="21"/>
        </w:rPr>
        <w:t>（6）供应商应对IDC机房网络带宽容量及稳定性提供良好保障，保证网络连通率每月在99.99%以上；</w:t>
      </w:r>
    </w:p>
    <w:p>
      <w:pPr>
        <w:spacing w:line="288" w:lineRule="auto"/>
        <w:ind w:firstLine="480"/>
        <w:rPr>
          <w:rFonts w:ascii="宋体" w:hAnsi="宋体" w:cs="宋体"/>
          <w:sz w:val="21"/>
          <w:szCs w:val="21"/>
        </w:rPr>
      </w:pPr>
      <w:r>
        <w:rPr>
          <w:rFonts w:hint="eastAsia" w:ascii="宋体" w:hAnsi="宋体" w:cs="宋体"/>
          <w:sz w:val="21"/>
          <w:szCs w:val="21"/>
        </w:rPr>
        <w:t>（7）供应商应最大限度的保证设备的可用性，提供机房本地7*24小时的技术支持服务；</w:t>
      </w:r>
    </w:p>
    <w:p>
      <w:pPr>
        <w:spacing w:line="288" w:lineRule="auto"/>
        <w:ind w:firstLine="480"/>
        <w:rPr>
          <w:rFonts w:ascii="宋体" w:hAnsi="宋体" w:cs="宋体"/>
          <w:sz w:val="21"/>
          <w:szCs w:val="21"/>
        </w:rPr>
      </w:pPr>
      <w:r>
        <w:rPr>
          <w:rFonts w:hint="eastAsia" w:ascii="宋体" w:hAnsi="宋体" w:cs="宋体"/>
          <w:sz w:val="21"/>
          <w:szCs w:val="21"/>
        </w:rPr>
        <w:t>（8）供应商应提供7*24小时的机房本地的操作系统安装、设备重启、硬件更换、备品备件管理等服务；</w:t>
      </w:r>
    </w:p>
    <w:p>
      <w:pPr>
        <w:spacing w:line="288" w:lineRule="auto"/>
        <w:ind w:firstLine="480"/>
        <w:rPr>
          <w:rFonts w:ascii="宋体" w:hAnsi="宋体" w:cs="宋体"/>
          <w:sz w:val="21"/>
          <w:szCs w:val="21"/>
        </w:rPr>
      </w:pPr>
      <w:r>
        <w:rPr>
          <w:rFonts w:hint="eastAsia" w:ascii="宋体" w:hAnsi="宋体" w:cs="宋体"/>
          <w:sz w:val="21"/>
          <w:szCs w:val="21"/>
        </w:rPr>
        <w:t>（9）供应商应对IDC机房内托管的设备的安全提供保障，不致丢失，并禁止无关的第三方人员接触或查看；</w:t>
      </w:r>
    </w:p>
    <w:p>
      <w:pPr>
        <w:spacing w:line="288" w:lineRule="auto"/>
        <w:ind w:firstLine="480"/>
        <w:rPr>
          <w:rFonts w:ascii="宋体" w:hAnsi="宋体" w:cs="宋体"/>
          <w:sz w:val="21"/>
          <w:szCs w:val="21"/>
        </w:rPr>
      </w:pPr>
      <w:r>
        <w:rPr>
          <w:rFonts w:hint="eastAsia" w:ascii="宋体" w:hAnsi="宋体" w:cs="宋体"/>
          <w:sz w:val="21"/>
          <w:szCs w:val="21"/>
        </w:rPr>
        <w:t>（10）供应商需对其提供的IDC机房托管服务和点对点专线进行7*24小时的监控与技术支持服务；</w:t>
      </w:r>
    </w:p>
    <w:p>
      <w:pPr>
        <w:spacing w:line="288" w:lineRule="auto"/>
        <w:ind w:firstLine="480"/>
        <w:rPr>
          <w:rFonts w:ascii="宋体" w:hAnsi="宋体" w:cs="宋体"/>
          <w:sz w:val="21"/>
          <w:szCs w:val="21"/>
        </w:rPr>
      </w:pPr>
      <w:r>
        <w:rPr>
          <w:rFonts w:hint="eastAsia" w:ascii="宋体" w:hAnsi="宋体" w:cs="宋体"/>
          <w:sz w:val="21"/>
          <w:szCs w:val="21"/>
        </w:rPr>
        <w:t>（11）供应商应有专人对提供给浙江大学图书馆业务的服务进行跟踪和监测；</w:t>
      </w:r>
    </w:p>
    <w:p>
      <w:pPr>
        <w:spacing w:line="288" w:lineRule="auto"/>
        <w:ind w:firstLine="480"/>
        <w:rPr>
          <w:rFonts w:ascii="宋体" w:hAnsi="宋体" w:cs="宋体"/>
          <w:sz w:val="21"/>
          <w:szCs w:val="21"/>
        </w:rPr>
      </w:pPr>
      <w:r>
        <w:rPr>
          <w:rFonts w:hint="eastAsia" w:ascii="宋体" w:hAnsi="宋体" w:cs="宋体"/>
          <w:sz w:val="21"/>
          <w:szCs w:val="21"/>
        </w:rPr>
        <w:t>（12）供应商应对浙江大学图书馆的托管业务进行监控，</w:t>
      </w:r>
      <w:r>
        <w:rPr>
          <w:rFonts w:hint="eastAsia" w:ascii="宋体" w:hAnsi="宋体" w:cs="宋体"/>
          <w:b/>
          <w:sz w:val="21"/>
          <w:szCs w:val="21"/>
        </w:rPr>
        <w:t>按照季度</w:t>
      </w:r>
      <w:r>
        <w:rPr>
          <w:rFonts w:hint="eastAsia" w:ascii="宋体" w:hAnsi="宋体" w:cs="宋体"/>
          <w:sz w:val="21"/>
          <w:szCs w:val="21"/>
        </w:rPr>
        <w:t>提供机房维护报表；</w:t>
      </w:r>
    </w:p>
    <w:p>
      <w:pPr>
        <w:spacing w:line="288" w:lineRule="auto"/>
        <w:ind w:firstLine="480"/>
        <w:rPr>
          <w:rFonts w:ascii="宋体" w:hAnsi="宋体" w:cs="宋体"/>
          <w:sz w:val="21"/>
          <w:szCs w:val="21"/>
        </w:rPr>
      </w:pPr>
      <w:r>
        <w:rPr>
          <w:rFonts w:hint="eastAsia" w:ascii="宋体" w:hAnsi="宋体" w:cs="宋体"/>
          <w:sz w:val="21"/>
          <w:szCs w:val="21"/>
        </w:rPr>
        <w:t>（13）供应商应明确故障响应和故障解决的时间（参见附一），如果服务出现故障，需在规定的故障解决时间内解决故障，并向浙江大学图书馆提交故障报告。</w:t>
      </w:r>
    </w:p>
    <w:p>
      <w:pPr>
        <w:keepNext/>
        <w:keepLines/>
        <w:tabs>
          <w:tab w:val="left" w:pos="720"/>
        </w:tabs>
        <w:spacing w:line="288" w:lineRule="auto"/>
        <w:ind w:left="420" w:hanging="420"/>
        <w:outlineLvl w:val="1"/>
        <w:rPr>
          <w:rFonts w:ascii="宋体" w:hAnsi="宋体" w:cs="宋体"/>
          <w:b/>
          <w:bCs/>
          <w:sz w:val="21"/>
          <w:szCs w:val="21"/>
        </w:rPr>
      </w:pPr>
      <w:bookmarkStart w:id="37" w:name="_Toc256719017"/>
      <w:bookmarkStart w:id="38" w:name="_Toc228595680"/>
      <w:r>
        <w:rPr>
          <w:rFonts w:hint="eastAsia" w:ascii="宋体" w:hAnsi="宋体" w:cs="宋体"/>
          <w:b/>
          <w:bCs/>
          <w:sz w:val="21"/>
          <w:szCs w:val="21"/>
        </w:rPr>
        <w:t>2.3、技术要求</w:t>
      </w:r>
      <w:bookmarkEnd w:id="37"/>
      <w:bookmarkEnd w:id="38"/>
    </w:p>
    <w:p>
      <w:pPr>
        <w:tabs>
          <w:tab w:val="left" w:pos="709"/>
        </w:tabs>
        <w:autoSpaceDE w:val="0"/>
        <w:autoSpaceDN w:val="0"/>
        <w:adjustRightInd w:val="0"/>
        <w:spacing w:line="288" w:lineRule="auto"/>
        <w:ind w:left="420" w:hanging="420"/>
        <w:textAlignment w:val="baseline"/>
        <w:outlineLvl w:val="2"/>
        <w:rPr>
          <w:rFonts w:ascii="宋体" w:hAnsi="宋体" w:cs="宋体"/>
          <w:b/>
          <w:color w:val="000000"/>
          <w:kern w:val="0"/>
          <w:sz w:val="21"/>
          <w:szCs w:val="21"/>
        </w:rPr>
      </w:pPr>
      <w:r>
        <w:rPr>
          <w:rFonts w:hint="eastAsia" w:ascii="宋体" w:hAnsi="宋体" w:cs="宋体"/>
          <w:b/>
          <w:color w:val="000000"/>
          <w:kern w:val="0"/>
          <w:sz w:val="21"/>
          <w:szCs w:val="21"/>
        </w:rPr>
        <w:t>（1）机房要求</w:t>
      </w:r>
    </w:p>
    <w:p>
      <w:pPr>
        <w:spacing w:line="288" w:lineRule="auto"/>
        <w:ind w:firstLine="480"/>
        <w:rPr>
          <w:rFonts w:ascii="宋体" w:hAnsi="宋体" w:cs="宋体"/>
          <w:sz w:val="21"/>
          <w:szCs w:val="21"/>
        </w:rPr>
      </w:pPr>
      <w:r>
        <w:rPr>
          <w:rFonts w:hint="eastAsia" w:ascii="宋体" w:hAnsi="宋体" w:cs="宋体"/>
          <w:sz w:val="21"/>
          <w:szCs w:val="21"/>
        </w:rPr>
        <w:t>-互联网数据中心业务机房所在地包括：杭州；</w:t>
      </w:r>
    </w:p>
    <w:p>
      <w:pPr>
        <w:spacing w:line="288" w:lineRule="auto"/>
        <w:ind w:firstLine="480"/>
        <w:rPr>
          <w:rFonts w:ascii="宋体" w:hAnsi="宋体" w:cs="宋体"/>
          <w:sz w:val="21"/>
          <w:szCs w:val="21"/>
        </w:rPr>
      </w:pPr>
      <w:r>
        <w:rPr>
          <w:rFonts w:hint="eastAsia" w:ascii="宋体" w:hAnsi="宋体" w:cs="宋体"/>
          <w:sz w:val="21"/>
          <w:szCs w:val="21"/>
        </w:rPr>
        <w:t>-地理位置及环境优越，基础设施完备；</w:t>
      </w:r>
    </w:p>
    <w:p>
      <w:pPr>
        <w:spacing w:line="288" w:lineRule="auto"/>
        <w:ind w:firstLine="480"/>
        <w:rPr>
          <w:rFonts w:ascii="宋体" w:hAnsi="宋体" w:cs="宋体"/>
          <w:sz w:val="21"/>
          <w:szCs w:val="21"/>
        </w:rPr>
      </w:pPr>
      <w:r>
        <w:rPr>
          <w:rFonts w:hint="eastAsia" w:ascii="宋体" w:hAnsi="宋体" w:cs="宋体"/>
          <w:sz w:val="21"/>
          <w:szCs w:val="21"/>
        </w:rPr>
        <w:t>-拥有先进的IDC设备及充足的带宽资源且具备随时扩容的条件；</w:t>
      </w:r>
    </w:p>
    <w:p>
      <w:pPr>
        <w:spacing w:line="288" w:lineRule="auto"/>
        <w:ind w:firstLine="480"/>
        <w:rPr>
          <w:rFonts w:ascii="宋体" w:hAnsi="宋体" w:cs="宋体"/>
          <w:sz w:val="21"/>
          <w:szCs w:val="21"/>
        </w:rPr>
      </w:pPr>
      <w:r>
        <w:rPr>
          <w:rFonts w:hint="eastAsia" w:ascii="宋体" w:hAnsi="宋体" w:cs="宋体"/>
          <w:sz w:val="21"/>
          <w:szCs w:val="21"/>
        </w:rPr>
        <w:t xml:space="preserve">-机房整体承重大于600公斤/平米； </w:t>
      </w:r>
    </w:p>
    <w:p>
      <w:pPr>
        <w:spacing w:line="288" w:lineRule="auto"/>
        <w:ind w:firstLine="480"/>
        <w:rPr>
          <w:rFonts w:ascii="宋体" w:hAnsi="宋体" w:cs="宋体"/>
          <w:sz w:val="21"/>
          <w:szCs w:val="21"/>
        </w:rPr>
      </w:pPr>
      <w:r>
        <w:rPr>
          <w:rFonts w:hint="eastAsia" w:ascii="宋体" w:hAnsi="宋体" w:cs="宋体"/>
          <w:sz w:val="21"/>
          <w:szCs w:val="21"/>
        </w:rPr>
        <w:t>-有防静电设施或设备；</w:t>
      </w:r>
    </w:p>
    <w:p>
      <w:pPr>
        <w:spacing w:line="288" w:lineRule="auto"/>
        <w:ind w:firstLine="480"/>
        <w:rPr>
          <w:rFonts w:ascii="宋体" w:hAnsi="宋体" w:cs="宋体"/>
          <w:sz w:val="21"/>
          <w:szCs w:val="21"/>
        </w:rPr>
      </w:pPr>
      <w:r>
        <w:rPr>
          <w:rFonts w:hint="eastAsia" w:ascii="宋体" w:hAnsi="宋体" w:cs="宋体"/>
          <w:sz w:val="21"/>
          <w:szCs w:val="21"/>
        </w:rPr>
        <w:t>-达到国家A类机房标准；</w:t>
      </w:r>
    </w:p>
    <w:p>
      <w:pPr>
        <w:spacing w:line="288" w:lineRule="auto"/>
        <w:ind w:firstLine="480"/>
        <w:rPr>
          <w:rFonts w:ascii="宋体" w:hAnsi="宋体" w:cs="宋体"/>
          <w:sz w:val="21"/>
          <w:szCs w:val="21"/>
        </w:rPr>
      </w:pPr>
      <w:r>
        <w:rPr>
          <w:rFonts w:hint="eastAsia" w:ascii="宋体" w:hAnsi="宋体" w:cs="宋体"/>
          <w:sz w:val="21"/>
          <w:szCs w:val="21"/>
        </w:rPr>
        <w:t>-机房应高于ANSI/TIA-942-2005 TIER 3标准设计并建设，基础设施达到TIER 3标准要求；</w:t>
      </w:r>
    </w:p>
    <w:p>
      <w:pPr>
        <w:spacing w:line="288" w:lineRule="auto"/>
        <w:ind w:firstLine="480"/>
        <w:rPr>
          <w:rFonts w:ascii="宋体" w:hAnsi="宋体" w:cs="宋体"/>
          <w:sz w:val="21"/>
          <w:szCs w:val="21"/>
        </w:rPr>
      </w:pPr>
      <w:r>
        <w:rPr>
          <w:rFonts w:hint="eastAsia" w:ascii="宋体" w:hAnsi="宋体" w:cs="宋体"/>
          <w:sz w:val="21"/>
          <w:szCs w:val="21"/>
        </w:rPr>
        <w:t>-具有单独的货梯，以保证客户设备的运输与安全；</w:t>
      </w:r>
    </w:p>
    <w:p>
      <w:pPr>
        <w:tabs>
          <w:tab w:val="left" w:pos="709"/>
        </w:tabs>
        <w:autoSpaceDE w:val="0"/>
        <w:autoSpaceDN w:val="0"/>
        <w:adjustRightInd w:val="0"/>
        <w:spacing w:line="288" w:lineRule="auto"/>
        <w:ind w:left="420" w:hanging="420"/>
        <w:textAlignment w:val="baseline"/>
        <w:outlineLvl w:val="2"/>
        <w:rPr>
          <w:rFonts w:ascii="宋体" w:hAnsi="宋体" w:cs="宋体"/>
          <w:b/>
          <w:color w:val="000000"/>
          <w:kern w:val="0"/>
          <w:sz w:val="21"/>
          <w:szCs w:val="21"/>
        </w:rPr>
      </w:pPr>
      <w:r>
        <w:rPr>
          <w:rFonts w:hint="eastAsia" w:ascii="宋体" w:hAnsi="宋体" w:cs="宋体"/>
          <w:b/>
          <w:color w:val="000000"/>
          <w:kern w:val="0"/>
          <w:sz w:val="21"/>
          <w:szCs w:val="21"/>
        </w:rPr>
        <w:t>（2）网络要求</w:t>
      </w:r>
    </w:p>
    <w:p>
      <w:pPr>
        <w:spacing w:line="288" w:lineRule="auto"/>
        <w:ind w:firstLine="480"/>
        <w:rPr>
          <w:rFonts w:ascii="宋体" w:hAnsi="宋体" w:cs="宋体"/>
          <w:sz w:val="21"/>
          <w:szCs w:val="21"/>
        </w:rPr>
      </w:pPr>
      <w:r>
        <w:rPr>
          <w:rFonts w:hint="eastAsia" w:ascii="宋体" w:hAnsi="宋体" w:cs="宋体"/>
          <w:sz w:val="21"/>
          <w:szCs w:val="21"/>
        </w:rPr>
        <w:t>-机房具备各线路独享带宽，光纤接入，可根据浙江大学图书馆的业务需求随时进行扩展；</w:t>
      </w:r>
    </w:p>
    <w:p>
      <w:pPr>
        <w:spacing w:line="288" w:lineRule="auto"/>
        <w:ind w:firstLine="480"/>
        <w:rPr>
          <w:rFonts w:ascii="宋体" w:hAnsi="宋体" w:cs="宋体"/>
          <w:sz w:val="21"/>
          <w:szCs w:val="21"/>
        </w:rPr>
      </w:pPr>
      <w:r>
        <w:rPr>
          <w:rFonts w:hint="eastAsia" w:ascii="宋体" w:hAnsi="宋体" w:cs="宋体"/>
          <w:sz w:val="21"/>
          <w:szCs w:val="21"/>
        </w:rPr>
        <w:t>-提供100M三线（电信+联通+移动）混合独享带宽和32个独立IP地址。</w:t>
      </w:r>
    </w:p>
    <w:p>
      <w:pPr>
        <w:spacing w:line="288" w:lineRule="auto"/>
        <w:ind w:firstLine="480"/>
        <w:rPr>
          <w:rFonts w:ascii="宋体" w:hAnsi="宋体" w:cs="宋体"/>
          <w:sz w:val="21"/>
          <w:szCs w:val="21"/>
        </w:rPr>
      </w:pPr>
      <w:r>
        <w:rPr>
          <w:rFonts w:hint="eastAsia" w:ascii="宋体" w:hAnsi="宋体" w:cs="宋体"/>
          <w:sz w:val="21"/>
          <w:szCs w:val="21"/>
        </w:rPr>
        <w:t>-可提供防DDOS网络攻击等安全服务；</w:t>
      </w:r>
    </w:p>
    <w:p>
      <w:pPr>
        <w:spacing w:line="288" w:lineRule="auto"/>
        <w:ind w:firstLine="480"/>
        <w:rPr>
          <w:rFonts w:ascii="宋体" w:hAnsi="宋体" w:cs="宋体"/>
          <w:sz w:val="21"/>
          <w:szCs w:val="21"/>
        </w:rPr>
      </w:pPr>
      <w:r>
        <w:rPr>
          <w:rFonts w:hint="eastAsia" w:ascii="宋体" w:hAnsi="宋体" w:cs="宋体"/>
          <w:sz w:val="21"/>
          <w:szCs w:val="21"/>
        </w:rPr>
        <w:t>-99.99%的网络连通性保证；</w:t>
      </w:r>
    </w:p>
    <w:p>
      <w:pPr>
        <w:spacing w:line="288" w:lineRule="auto"/>
        <w:ind w:firstLine="480"/>
        <w:rPr>
          <w:rFonts w:ascii="宋体" w:hAnsi="宋体" w:cs="宋体"/>
          <w:sz w:val="21"/>
          <w:szCs w:val="21"/>
        </w:rPr>
      </w:pPr>
      <w:r>
        <w:rPr>
          <w:rFonts w:hint="eastAsia" w:ascii="宋体" w:hAnsi="宋体" w:cs="宋体"/>
          <w:sz w:val="21"/>
          <w:szCs w:val="21"/>
        </w:rPr>
        <w:t>-可根据需求对网络进行路由优化；</w:t>
      </w:r>
    </w:p>
    <w:p>
      <w:pPr>
        <w:spacing w:line="288" w:lineRule="auto"/>
        <w:ind w:firstLine="480"/>
        <w:rPr>
          <w:rFonts w:ascii="宋体" w:hAnsi="宋体" w:cs="宋体"/>
          <w:sz w:val="21"/>
          <w:szCs w:val="21"/>
        </w:rPr>
      </w:pPr>
      <w:r>
        <w:rPr>
          <w:rFonts w:hint="eastAsia" w:ascii="宋体" w:hAnsi="宋体" w:cs="宋体"/>
          <w:sz w:val="21"/>
          <w:szCs w:val="21"/>
        </w:rPr>
        <w:t>-7×24×365小时网络监控和网络故障响应机制；</w:t>
      </w:r>
    </w:p>
    <w:p>
      <w:pPr>
        <w:spacing w:line="288" w:lineRule="auto"/>
        <w:ind w:firstLine="480"/>
        <w:rPr>
          <w:rFonts w:ascii="宋体" w:hAnsi="宋体" w:cs="宋体"/>
          <w:sz w:val="21"/>
          <w:szCs w:val="21"/>
        </w:rPr>
      </w:pPr>
      <w:r>
        <w:rPr>
          <w:rFonts w:hint="eastAsia" w:ascii="宋体" w:hAnsi="宋体" w:cs="宋体"/>
          <w:sz w:val="21"/>
          <w:szCs w:val="21"/>
        </w:rPr>
        <w:t>-7×24×365小时现场支持；</w:t>
      </w:r>
    </w:p>
    <w:p>
      <w:pPr>
        <w:spacing w:line="288" w:lineRule="auto"/>
        <w:ind w:firstLine="480"/>
        <w:rPr>
          <w:rFonts w:ascii="宋体" w:hAnsi="宋体" w:cs="宋体"/>
          <w:sz w:val="21"/>
          <w:szCs w:val="21"/>
        </w:rPr>
      </w:pPr>
      <w:r>
        <w:rPr>
          <w:rFonts w:hint="eastAsia" w:ascii="宋体" w:hAnsi="宋体" w:cs="宋体"/>
          <w:sz w:val="21"/>
          <w:szCs w:val="21"/>
        </w:rPr>
        <w:t>-可根据用户需求提供增值服务；</w:t>
      </w:r>
    </w:p>
    <w:p>
      <w:pPr>
        <w:tabs>
          <w:tab w:val="left" w:pos="709"/>
        </w:tabs>
        <w:autoSpaceDE w:val="0"/>
        <w:autoSpaceDN w:val="0"/>
        <w:adjustRightInd w:val="0"/>
        <w:spacing w:line="288" w:lineRule="auto"/>
        <w:ind w:left="420" w:hanging="420"/>
        <w:textAlignment w:val="baseline"/>
        <w:outlineLvl w:val="2"/>
        <w:rPr>
          <w:rFonts w:ascii="宋体" w:hAnsi="宋体" w:cs="宋体"/>
          <w:b/>
          <w:color w:val="000000"/>
          <w:kern w:val="0"/>
          <w:sz w:val="21"/>
          <w:szCs w:val="21"/>
        </w:rPr>
      </w:pPr>
      <w:r>
        <w:rPr>
          <w:rFonts w:hint="eastAsia" w:ascii="宋体" w:hAnsi="宋体" w:cs="宋体"/>
          <w:b/>
          <w:color w:val="000000"/>
          <w:kern w:val="0"/>
          <w:sz w:val="21"/>
          <w:szCs w:val="21"/>
        </w:rPr>
        <w:t>（3）机柜要求</w:t>
      </w:r>
    </w:p>
    <w:p>
      <w:pPr>
        <w:spacing w:line="288" w:lineRule="auto"/>
        <w:ind w:firstLine="480"/>
        <w:rPr>
          <w:rFonts w:ascii="宋体" w:hAnsi="宋体" w:cs="宋体"/>
          <w:sz w:val="21"/>
          <w:szCs w:val="21"/>
        </w:rPr>
      </w:pPr>
      <w:r>
        <w:rPr>
          <w:rFonts w:hint="eastAsia" w:ascii="宋体" w:hAnsi="宋体" w:cs="宋体"/>
          <w:sz w:val="21"/>
          <w:szCs w:val="21"/>
        </w:rPr>
        <w:t>-提供不低于</w:t>
      </w:r>
      <w:r>
        <w:rPr>
          <w:rFonts w:ascii="宋体" w:hAnsi="宋体" w:cs="宋体"/>
          <w:sz w:val="21"/>
          <w:szCs w:val="21"/>
        </w:rPr>
        <w:t>45</w:t>
      </w:r>
      <w:r>
        <w:rPr>
          <w:rFonts w:hint="eastAsia" w:ascii="宋体" w:hAnsi="宋体" w:cs="宋体"/>
          <w:sz w:val="21"/>
          <w:szCs w:val="21"/>
        </w:rPr>
        <w:t>U的标准机柜，可上标准服务器导轨及按需求提供机柜托盘；</w:t>
      </w:r>
    </w:p>
    <w:p>
      <w:pPr>
        <w:spacing w:line="288" w:lineRule="auto"/>
        <w:ind w:firstLine="480"/>
        <w:rPr>
          <w:rFonts w:ascii="宋体" w:hAnsi="宋体" w:cs="宋体"/>
          <w:sz w:val="21"/>
          <w:szCs w:val="21"/>
        </w:rPr>
      </w:pPr>
      <w:r>
        <w:rPr>
          <w:rFonts w:hint="eastAsia" w:ascii="宋体" w:hAnsi="宋体" w:cs="宋体"/>
          <w:sz w:val="21"/>
          <w:szCs w:val="21"/>
        </w:rPr>
        <w:t>-提供32个标准机柜独立空间，具有良好的可扩展空间；</w:t>
      </w:r>
    </w:p>
    <w:p>
      <w:pPr>
        <w:spacing w:line="288" w:lineRule="auto"/>
        <w:ind w:firstLine="480"/>
        <w:rPr>
          <w:rFonts w:ascii="宋体" w:hAnsi="宋体" w:cs="宋体"/>
          <w:sz w:val="21"/>
          <w:szCs w:val="21"/>
        </w:rPr>
      </w:pPr>
      <w:r>
        <w:rPr>
          <w:rFonts w:hint="eastAsia" w:ascii="宋体" w:hAnsi="宋体" w:cs="宋体"/>
          <w:sz w:val="21"/>
          <w:szCs w:val="21"/>
        </w:rPr>
        <w:t>-配备各类服务器电源插座，包括常见品牌（IBM/HP）的小机、服务器等；每路电源配备空开，以防单位设备用电安全；</w:t>
      </w:r>
    </w:p>
    <w:p>
      <w:pPr>
        <w:tabs>
          <w:tab w:val="left" w:pos="709"/>
        </w:tabs>
        <w:autoSpaceDE w:val="0"/>
        <w:autoSpaceDN w:val="0"/>
        <w:adjustRightInd w:val="0"/>
        <w:spacing w:line="288" w:lineRule="auto"/>
        <w:ind w:left="420" w:hanging="420"/>
        <w:textAlignment w:val="baseline"/>
        <w:outlineLvl w:val="2"/>
        <w:rPr>
          <w:rFonts w:ascii="宋体" w:hAnsi="宋体" w:cs="宋体"/>
          <w:b/>
          <w:color w:val="000000"/>
          <w:kern w:val="0"/>
          <w:sz w:val="21"/>
          <w:szCs w:val="21"/>
        </w:rPr>
      </w:pPr>
      <w:r>
        <w:rPr>
          <w:rFonts w:hint="eastAsia" w:ascii="宋体" w:hAnsi="宋体" w:cs="宋体"/>
          <w:b/>
          <w:color w:val="000000"/>
          <w:kern w:val="0"/>
          <w:sz w:val="21"/>
          <w:szCs w:val="21"/>
        </w:rPr>
        <w:t>（4）配电要求</w:t>
      </w:r>
    </w:p>
    <w:p>
      <w:pPr>
        <w:spacing w:line="288" w:lineRule="auto"/>
        <w:ind w:firstLine="480"/>
        <w:rPr>
          <w:rFonts w:ascii="宋体" w:hAnsi="宋体" w:cs="宋体"/>
          <w:sz w:val="21"/>
          <w:szCs w:val="21"/>
        </w:rPr>
      </w:pPr>
      <w:r>
        <w:rPr>
          <w:rFonts w:hint="eastAsia" w:ascii="宋体" w:hAnsi="宋体" w:cs="宋体"/>
          <w:sz w:val="21"/>
          <w:szCs w:val="21"/>
        </w:rPr>
        <w:t>-每机柜双路UPS供电，总容量不小于16A；</w:t>
      </w:r>
    </w:p>
    <w:p>
      <w:pPr>
        <w:spacing w:line="288" w:lineRule="auto"/>
        <w:ind w:firstLine="480"/>
        <w:rPr>
          <w:rFonts w:ascii="宋体" w:hAnsi="宋体" w:cs="宋体"/>
          <w:sz w:val="21"/>
          <w:szCs w:val="21"/>
        </w:rPr>
      </w:pPr>
      <w:r>
        <w:rPr>
          <w:rFonts w:hint="eastAsia" w:ascii="宋体" w:hAnsi="宋体" w:cs="宋体"/>
          <w:sz w:val="21"/>
          <w:szCs w:val="21"/>
        </w:rPr>
        <w:t>-机房供给双路独立的高压供电电源；</w:t>
      </w:r>
    </w:p>
    <w:p>
      <w:pPr>
        <w:spacing w:line="288" w:lineRule="auto"/>
        <w:ind w:firstLine="480"/>
        <w:rPr>
          <w:rFonts w:ascii="宋体" w:hAnsi="宋体" w:cs="宋体"/>
          <w:sz w:val="21"/>
          <w:szCs w:val="21"/>
        </w:rPr>
      </w:pPr>
      <w:r>
        <w:rPr>
          <w:rFonts w:hint="eastAsia" w:ascii="宋体" w:hAnsi="宋体" w:cs="宋体"/>
          <w:sz w:val="21"/>
          <w:szCs w:val="21"/>
        </w:rPr>
        <w:t>-备用应急电源采用柴油发电机组，保证供电时间不低于60分钟；</w:t>
      </w:r>
    </w:p>
    <w:p>
      <w:pPr>
        <w:spacing w:line="288" w:lineRule="auto"/>
        <w:ind w:firstLine="480"/>
        <w:rPr>
          <w:rFonts w:ascii="宋体" w:hAnsi="宋体" w:cs="宋体"/>
          <w:sz w:val="21"/>
          <w:szCs w:val="21"/>
        </w:rPr>
      </w:pPr>
      <w:r>
        <w:rPr>
          <w:rFonts w:hint="eastAsia" w:ascii="宋体" w:hAnsi="宋体" w:cs="宋体"/>
          <w:sz w:val="21"/>
          <w:szCs w:val="21"/>
        </w:rPr>
        <w:t>-双路冗余（1＋1）UPS电源；</w:t>
      </w:r>
    </w:p>
    <w:p>
      <w:pPr>
        <w:spacing w:line="288" w:lineRule="auto"/>
        <w:ind w:firstLine="480"/>
        <w:rPr>
          <w:rFonts w:ascii="宋体" w:hAnsi="宋体" w:cs="宋体"/>
          <w:sz w:val="21"/>
          <w:szCs w:val="21"/>
        </w:rPr>
      </w:pPr>
      <w:r>
        <w:rPr>
          <w:rFonts w:hint="eastAsia" w:ascii="宋体" w:hAnsi="宋体" w:cs="宋体"/>
          <w:sz w:val="21"/>
          <w:szCs w:val="21"/>
        </w:rPr>
        <w:t>-UPS系统满负荷供电时间不低于60分钟；</w:t>
      </w:r>
    </w:p>
    <w:p>
      <w:pPr>
        <w:spacing w:line="288" w:lineRule="auto"/>
        <w:ind w:firstLine="480"/>
        <w:rPr>
          <w:rFonts w:ascii="宋体" w:hAnsi="宋体" w:cs="宋体"/>
          <w:sz w:val="21"/>
          <w:szCs w:val="21"/>
        </w:rPr>
      </w:pPr>
      <w:r>
        <w:rPr>
          <w:rFonts w:hint="eastAsia" w:ascii="宋体" w:hAnsi="宋体" w:cs="宋体"/>
          <w:sz w:val="21"/>
          <w:szCs w:val="21"/>
        </w:rPr>
        <w:t>-保证99.99%以上的持续供电率；</w:t>
      </w:r>
    </w:p>
    <w:p>
      <w:pPr>
        <w:spacing w:line="288" w:lineRule="auto"/>
        <w:ind w:firstLine="480"/>
        <w:rPr>
          <w:rFonts w:ascii="宋体" w:hAnsi="宋体" w:cs="宋体"/>
          <w:sz w:val="21"/>
          <w:szCs w:val="21"/>
        </w:rPr>
      </w:pPr>
      <w:r>
        <w:rPr>
          <w:rFonts w:hint="eastAsia" w:ascii="宋体" w:hAnsi="宋体" w:cs="宋体"/>
          <w:sz w:val="21"/>
          <w:szCs w:val="21"/>
        </w:rPr>
        <w:t>-可根据用户需求，针对电力进行扩容或改造，满足用户的高电需求；</w:t>
      </w:r>
    </w:p>
    <w:p>
      <w:pPr>
        <w:tabs>
          <w:tab w:val="left" w:pos="709"/>
        </w:tabs>
        <w:autoSpaceDE w:val="0"/>
        <w:autoSpaceDN w:val="0"/>
        <w:adjustRightInd w:val="0"/>
        <w:spacing w:line="288" w:lineRule="auto"/>
        <w:ind w:left="420" w:hanging="420"/>
        <w:textAlignment w:val="baseline"/>
        <w:outlineLvl w:val="2"/>
        <w:rPr>
          <w:rFonts w:ascii="宋体" w:hAnsi="宋体" w:cs="宋体"/>
          <w:b/>
          <w:color w:val="000000"/>
          <w:kern w:val="0"/>
          <w:sz w:val="21"/>
          <w:szCs w:val="21"/>
        </w:rPr>
      </w:pPr>
      <w:r>
        <w:rPr>
          <w:rFonts w:hint="eastAsia" w:ascii="宋体" w:hAnsi="宋体" w:cs="宋体"/>
          <w:b/>
          <w:color w:val="000000"/>
          <w:kern w:val="0"/>
          <w:sz w:val="21"/>
          <w:szCs w:val="21"/>
        </w:rPr>
        <w:t>（5）空调要求</w:t>
      </w:r>
    </w:p>
    <w:p>
      <w:pPr>
        <w:spacing w:line="288" w:lineRule="auto"/>
        <w:ind w:firstLine="480"/>
        <w:rPr>
          <w:rFonts w:ascii="宋体" w:hAnsi="宋体" w:cs="宋体"/>
          <w:sz w:val="21"/>
          <w:szCs w:val="21"/>
        </w:rPr>
      </w:pPr>
      <w:r>
        <w:rPr>
          <w:rFonts w:hint="eastAsia" w:ascii="宋体" w:hAnsi="宋体" w:cs="宋体"/>
          <w:sz w:val="21"/>
          <w:szCs w:val="21"/>
        </w:rPr>
        <w:t>-有新风系统；</w:t>
      </w:r>
    </w:p>
    <w:p>
      <w:pPr>
        <w:spacing w:line="288" w:lineRule="auto"/>
        <w:ind w:firstLine="480"/>
        <w:rPr>
          <w:rFonts w:ascii="宋体" w:hAnsi="宋体" w:cs="宋体"/>
          <w:sz w:val="21"/>
          <w:szCs w:val="21"/>
        </w:rPr>
      </w:pPr>
      <w:r>
        <w:rPr>
          <w:rFonts w:hint="eastAsia" w:ascii="宋体" w:hAnsi="宋体" w:cs="宋体"/>
          <w:sz w:val="21"/>
          <w:szCs w:val="21"/>
        </w:rPr>
        <w:t>-温度、湿度符合国家计算机场地技术标准，设备具备根据要求提高标准的能力；</w:t>
      </w:r>
    </w:p>
    <w:p>
      <w:pPr>
        <w:spacing w:line="288" w:lineRule="auto"/>
        <w:ind w:firstLine="480"/>
        <w:rPr>
          <w:rFonts w:ascii="宋体" w:hAnsi="宋体" w:cs="宋体"/>
          <w:sz w:val="21"/>
          <w:szCs w:val="21"/>
        </w:rPr>
      </w:pPr>
      <w:r>
        <w:rPr>
          <w:rFonts w:hint="eastAsia" w:ascii="宋体" w:hAnsi="宋体" w:cs="宋体"/>
          <w:sz w:val="21"/>
          <w:szCs w:val="21"/>
        </w:rPr>
        <w:t>-自动温湿度监控，自动报警；</w:t>
      </w:r>
    </w:p>
    <w:p>
      <w:pPr>
        <w:spacing w:line="288" w:lineRule="auto"/>
        <w:ind w:firstLine="480"/>
        <w:rPr>
          <w:rFonts w:ascii="宋体" w:hAnsi="宋体" w:cs="宋体"/>
          <w:sz w:val="21"/>
          <w:szCs w:val="21"/>
        </w:rPr>
      </w:pPr>
      <w:r>
        <w:rPr>
          <w:rFonts w:hint="eastAsia" w:ascii="宋体" w:hAnsi="宋体" w:cs="宋体"/>
          <w:sz w:val="21"/>
          <w:szCs w:val="21"/>
        </w:rPr>
        <w:t>-具备大容量的空调系统，保证所有机柜（包括高电机柜）的通风散热要求；</w:t>
      </w:r>
    </w:p>
    <w:p>
      <w:pPr>
        <w:spacing w:line="288" w:lineRule="auto"/>
        <w:ind w:firstLine="480"/>
        <w:rPr>
          <w:rFonts w:ascii="宋体" w:hAnsi="宋体" w:cs="宋体"/>
          <w:sz w:val="21"/>
          <w:szCs w:val="21"/>
        </w:rPr>
      </w:pPr>
      <w:r>
        <w:rPr>
          <w:rFonts w:hint="eastAsia" w:ascii="宋体" w:hAnsi="宋体" w:cs="宋体"/>
          <w:sz w:val="21"/>
          <w:szCs w:val="21"/>
        </w:rPr>
        <w:t>-空调系统全冗余配置，保证机房恒温恒湿，7×24小时定时巡检；</w:t>
      </w:r>
    </w:p>
    <w:p>
      <w:pPr>
        <w:tabs>
          <w:tab w:val="left" w:pos="709"/>
        </w:tabs>
        <w:autoSpaceDE w:val="0"/>
        <w:autoSpaceDN w:val="0"/>
        <w:adjustRightInd w:val="0"/>
        <w:spacing w:line="288" w:lineRule="auto"/>
        <w:ind w:left="420" w:hanging="420"/>
        <w:textAlignment w:val="baseline"/>
        <w:outlineLvl w:val="2"/>
        <w:rPr>
          <w:rFonts w:ascii="宋体" w:hAnsi="宋体" w:cs="宋体"/>
          <w:b/>
          <w:color w:val="000000"/>
          <w:kern w:val="0"/>
          <w:sz w:val="21"/>
          <w:szCs w:val="21"/>
        </w:rPr>
      </w:pPr>
      <w:r>
        <w:rPr>
          <w:rFonts w:hint="eastAsia" w:ascii="宋体" w:hAnsi="宋体" w:cs="宋体"/>
          <w:b/>
          <w:color w:val="000000"/>
          <w:kern w:val="0"/>
          <w:sz w:val="21"/>
          <w:szCs w:val="21"/>
        </w:rPr>
        <w:t>（6）消防要求</w:t>
      </w:r>
    </w:p>
    <w:p>
      <w:pPr>
        <w:spacing w:line="288" w:lineRule="auto"/>
        <w:ind w:firstLine="480"/>
        <w:rPr>
          <w:rFonts w:ascii="宋体" w:hAnsi="宋体" w:cs="宋体"/>
          <w:sz w:val="21"/>
          <w:szCs w:val="21"/>
        </w:rPr>
      </w:pPr>
      <w:r>
        <w:rPr>
          <w:rFonts w:hint="eastAsia" w:ascii="宋体" w:hAnsi="宋体" w:cs="宋体"/>
          <w:sz w:val="21"/>
          <w:szCs w:val="21"/>
        </w:rPr>
        <w:t>-有烟雾感应探测器及温度感应探测器；</w:t>
      </w:r>
    </w:p>
    <w:p>
      <w:pPr>
        <w:spacing w:line="288" w:lineRule="auto"/>
        <w:ind w:firstLine="480"/>
        <w:rPr>
          <w:rFonts w:ascii="宋体" w:hAnsi="宋体" w:cs="宋体"/>
          <w:sz w:val="21"/>
          <w:szCs w:val="21"/>
        </w:rPr>
      </w:pPr>
      <w:r>
        <w:rPr>
          <w:rFonts w:hint="eastAsia" w:ascii="宋体" w:hAnsi="宋体" w:cs="宋体"/>
          <w:sz w:val="21"/>
          <w:szCs w:val="21"/>
        </w:rPr>
        <w:t>-有火灾智能预警系统；</w:t>
      </w:r>
    </w:p>
    <w:p>
      <w:pPr>
        <w:spacing w:line="288" w:lineRule="auto"/>
        <w:ind w:firstLine="480"/>
        <w:rPr>
          <w:rFonts w:ascii="宋体" w:hAnsi="宋体" w:cs="宋体"/>
          <w:sz w:val="21"/>
          <w:szCs w:val="21"/>
        </w:rPr>
      </w:pPr>
      <w:r>
        <w:rPr>
          <w:rFonts w:hint="eastAsia" w:ascii="宋体" w:hAnsi="宋体" w:cs="宋体"/>
          <w:sz w:val="21"/>
          <w:szCs w:val="21"/>
        </w:rPr>
        <w:t>-气体灭火；</w:t>
      </w:r>
    </w:p>
    <w:p>
      <w:pPr>
        <w:spacing w:line="288" w:lineRule="auto"/>
        <w:ind w:firstLine="480"/>
        <w:rPr>
          <w:rFonts w:ascii="宋体" w:hAnsi="宋体" w:cs="宋体"/>
          <w:sz w:val="21"/>
          <w:szCs w:val="21"/>
        </w:rPr>
      </w:pPr>
      <w:r>
        <w:rPr>
          <w:rFonts w:hint="eastAsia" w:ascii="宋体" w:hAnsi="宋体" w:cs="宋体"/>
          <w:sz w:val="21"/>
          <w:szCs w:val="21"/>
        </w:rPr>
        <w:t>-具备环保高效的管道式气体灭火系统；</w:t>
      </w:r>
    </w:p>
    <w:p>
      <w:pPr>
        <w:spacing w:line="288" w:lineRule="auto"/>
        <w:ind w:firstLine="480"/>
        <w:rPr>
          <w:rFonts w:ascii="宋体" w:hAnsi="宋体" w:cs="宋体"/>
          <w:sz w:val="21"/>
          <w:szCs w:val="21"/>
        </w:rPr>
      </w:pPr>
      <w:r>
        <w:rPr>
          <w:rFonts w:hint="eastAsia" w:ascii="宋体" w:hAnsi="宋体" w:cs="宋体"/>
          <w:sz w:val="21"/>
          <w:szCs w:val="21"/>
        </w:rPr>
        <w:t>-极早期火灾报警系统；</w:t>
      </w:r>
    </w:p>
    <w:p>
      <w:pPr>
        <w:spacing w:line="288" w:lineRule="auto"/>
        <w:ind w:firstLine="480"/>
        <w:rPr>
          <w:rFonts w:ascii="宋体" w:hAnsi="宋体" w:cs="宋体"/>
          <w:sz w:val="21"/>
          <w:szCs w:val="21"/>
        </w:rPr>
      </w:pPr>
      <w:r>
        <w:rPr>
          <w:rFonts w:hint="eastAsia" w:ascii="宋体" w:hAnsi="宋体" w:cs="宋体"/>
          <w:sz w:val="21"/>
          <w:szCs w:val="21"/>
        </w:rPr>
        <w:t>-7×24小时定时巡检。</w:t>
      </w:r>
    </w:p>
    <w:p>
      <w:pPr>
        <w:tabs>
          <w:tab w:val="left" w:pos="709"/>
        </w:tabs>
        <w:autoSpaceDE w:val="0"/>
        <w:autoSpaceDN w:val="0"/>
        <w:adjustRightInd w:val="0"/>
        <w:spacing w:line="288" w:lineRule="auto"/>
        <w:ind w:left="420" w:hanging="420"/>
        <w:textAlignment w:val="baseline"/>
        <w:outlineLvl w:val="2"/>
        <w:rPr>
          <w:rFonts w:ascii="宋体" w:hAnsi="宋体" w:cs="宋体"/>
          <w:b/>
          <w:color w:val="000000"/>
          <w:kern w:val="0"/>
          <w:sz w:val="21"/>
          <w:szCs w:val="21"/>
        </w:rPr>
      </w:pPr>
      <w:r>
        <w:rPr>
          <w:rFonts w:hint="eastAsia" w:ascii="宋体" w:hAnsi="宋体" w:cs="宋体"/>
          <w:b/>
          <w:color w:val="000000"/>
          <w:kern w:val="0"/>
          <w:sz w:val="21"/>
          <w:szCs w:val="21"/>
        </w:rPr>
        <w:t>（7）安全服务要求</w:t>
      </w:r>
    </w:p>
    <w:p>
      <w:pPr>
        <w:spacing w:line="288" w:lineRule="auto"/>
        <w:ind w:firstLine="480"/>
        <w:rPr>
          <w:rFonts w:ascii="宋体" w:hAnsi="宋体" w:cs="宋体"/>
          <w:sz w:val="21"/>
          <w:szCs w:val="21"/>
        </w:rPr>
      </w:pPr>
      <w:r>
        <w:rPr>
          <w:rFonts w:hint="eastAsia" w:ascii="宋体" w:hAnsi="宋体" w:cs="宋体"/>
          <w:sz w:val="21"/>
          <w:szCs w:val="21"/>
        </w:rPr>
        <w:t>-监控系统7×24×365小时进行全方位机房监控、录像；监控历史数据保留至少1个月；</w:t>
      </w:r>
    </w:p>
    <w:p>
      <w:pPr>
        <w:spacing w:line="288" w:lineRule="auto"/>
        <w:ind w:firstLine="480"/>
        <w:rPr>
          <w:rFonts w:ascii="宋体" w:hAnsi="宋体" w:cs="宋体"/>
          <w:sz w:val="21"/>
          <w:szCs w:val="21"/>
        </w:rPr>
      </w:pPr>
      <w:r>
        <w:rPr>
          <w:rFonts w:hint="eastAsia" w:ascii="宋体" w:hAnsi="宋体" w:cs="宋体"/>
          <w:sz w:val="21"/>
          <w:szCs w:val="21"/>
        </w:rPr>
        <w:t>-配备安全的远程KVM管理系统及其配套服务，使用户可通过互联网，远程管理服务器；</w:t>
      </w:r>
    </w:p>
    <w:p>
      <w:pPr>
        <w:spacing w:line="288" w:lineRule="auto"/>
        <w:ind w:firstLine="480"/>
        <w:rPr>
          <w:rFonts w:ascii="宋体" w:hAnsi="宋体" w:cs="宋体"/>
          <w:sz w:val="21"/>
          <w:szCs w:val="21"/>
        </w:rPr>
      </w:pPr>
      <w:r>
        <w:rPr>
          <w:rFonts w:hint="eastAsia" w:ascii="宋体" w:hAnsi="宋体" w:cs="宋体"/>
          <w:sz w:val="21"/>
          <w:szCs w:val="21"/>
        </w:rPr>
        <w:t>-防止任何无关人员进入，保证机房空间的私密性；</w:t>
      </w:r>
    </w:p>
    <w:p>
      <w:pPr>
        <w:spacing w:line="288" w:lineRule="auto"/>
        <w:ind w:firstLine="480"/>
        <w:rPr>
          <w:rFonts w:ascii="宋体" w:hAnsi="宋体" w:cs="宋体"/>
          <w:sz w:val="21"/>
          <w:szCs w:val="21"/>
        </w:rPr>
      </w:pPr>
      <w:r>
        <w:rPr>
          <w:rFonts w:hint="eastAsia" w:ascii="宋体" w:hAnsi="宋体" w:cs="宋体"/>
          <w:sz w:val="21"/>
          <w:szCs w:val="21"/>
        </w:rPr>
        <w:t>-专业人员7×24×365小时在岗，随时巡视；</w:t>
      </w:r>
    </w:p>
    <w:p>
      <w:pPr>
        <w:spacing w:line="288" w:lineRule="auto"/>
        <w:ind w:firstLine="480"/>
        <w:rPr>
          <w:rFonts w:ascii="宋体" w:hAnsi="宋体" w:cs="宋体"/>
          <w:sz w:val="21"/>
          <w:szCs w:val="21"/>
        </w:rPr>
      </w:pPr>
      <w:r>
        <w:rPr>
          <w:rFonts w:hint="eastAsia" w:ascii="宋体" w:hAnsi="宋体" w:cs="宋体"/>
          <w:sz w:val="21"/>
          <w:szCs w:val="21"/>
        </w:rPr>
        <w:t>-7×24小时的机房授权进入服务，入侵检测保安人员7×24小时值班，定时巡逻。</w:t>
      </w:r>
    </w:p>
    <w:p>
      <w:pPr>
        <w:tabs>
          <w:tab w:val="left" w:pos="709"/>
        </w:tabs>
        <w:autoSpaceDE w:val="0"/>
        <w:autoSpaceDN w:val="0"/>
        <w:adjustRightInd w:val="0"/>
        <w:spacing w:line="288" w:lineRule="auto"/>
        <w:ind w:left="420" w:hanging="420"/>
        <w:textAlignment w:val="baseline"/>
        <w:outlineLvl w:val="2"/>
        <w:rPr>
          <w:rFonts w:ascii="宋体" w:hAnsi="宋体" w:cs="宋体"/>
          <w:b/>
          <w:color w:val="000000"/>
          <w:kern w:val="0"/>
          <w:sz w:val="21"/>
          <w:szCs w:val="21"/>
        </w:rPr>
      </w:pPr>
      <w:r>
        <w:rPr>
          <w:rFonts w:hint="eastAsia" w:ascii="宋体" w:hAnsi="宋体" w:cs="宋体"/>
          <w:b/>
          <w:color w:val="000000"/>
          <w:kern w:val="0"/>
          <w:sz w:val="21"/>
          <w:szCs w:val="21"/>
        </w:rPr>
        <w:t>（8）监控要求</w:t>
      </w:r>
    </w:p>
    <w:p>
      <w:pPr>
        <w:spacing w:line="288" w:lineRule="auto"/>
        <w:ind w:firstLine="480"/>
        <w:rPr>
          <w:rFonts w:ascii="宋体" w:hAnsi="宋体" w:cs="宋体"/>
          <w:sz w:val="21"/>
          <w:szCs w:val="21"/>
        </w:rPr>
      </w:pPr>
      <w:r>
        <w:rPr>
          <w:rFonts w:hint="eastAsia" w:ascii="宋体" w:hAnsi="宋体" w:cs="宋体"/>
          <w:sz w:val="21"/>
          <w:szCs w:val="21"/>
        </w:rPr>
        <w:t>-有集中监控系统，可对机房内的温度、湿度、电力等情况进行全面检测；</w:t>
      </w:r>
    </w:p>
    <w:p>
      <w:pPr>
        <w:spacing w:line="288" w:lineRule="auto"/>
        <w:ind w:firstLine="480"/>
        <w:rPr>
          <w:rFonts w:ascii="宋体" w:hAnsi="宋体" w:cs="宋体"/>
          <w:sz w:val="21"/>
          <w:szCs w:val="21"/>
        </w:rPr>
      </w:pPr>
      <w:r>
        <w:rPr>
          <w:rFonts w:hint="eastAsia" w:ascii="宋体" w:hAnsi="宋体" w:cs="宋体"/>
          <w:sz w:val="21"/>
          <w:szCs w:val="21"/>
        </w:rPr>
        <w:t>-对网络连接状况实时监测及告警；</w:t>
      </w:r>
    </w:p>
    <w:p>
      <w:pPr>
        <w:spacing w:line="288" w:lineRule="auto"/>
        <w:ind w:firstLine="480"/>
        <w:rPr>
          <w:rFonts w:ascii="宋体" w:hAnsi="宋体" w:cs="宋体"/>
          <w:sz w:val="21"/>
          <w:szCs w:val="21"/>
        </w:rPr>
      </w:pPr>
      <w:r>
        <w:rPr>
          <w:rFonts w:hint="eastAsia" w:ascii="宋体" w:hAnsi="宋体" w:cs="宋体"/>
          <w:sz w:val="21"/>
          <w:szCs w:val="21"/>
        </w:rPr>
        <w:t>-对机房网络和点对点专线进行7×24×365小时的监控与服务；</w:t>
      </w:r>
    </w:p>
    <w:p>
      <w:pPr>
        <w:spacing w:line="288" w:lineRule="auto"/>
        <w:ind w:firstLine="480"/>
        <w:rPr>
          <w:rFonts w:ascii="宋体" w:hAnsi="宋体" w:cs="宋体"/>
          <w:sz w:val="21"/>
          <w:szCs w:val="21"/>
        </w:rPr>
      </w:pPr>
      <w:r>
        <w:rPr>
          <w:rFonts w:hint="eastAsia" w:ascii="宋体" w:hAnsi="宋体" w:cs="宋体"/>
          <w:sz w:val="21"/>
          <w:szCs w:val="21"/>
        </w:rPr>
        <w:t>-提供7*24小时的安全管理与视频监控服务，视频资料至少保存30天。</w:t>
      </w:r>
    </w:p>
    <w:p>
      <w:pPr>
        <w:tabs>
          <w:tab w:val="left" w:pos="709"/>
        </w:tabs>
        <w:autoSpaceDE w:val="0"/>
        <w:autoSpaceDN w:val="0"/>
        <w:adjustRightInd w:val="0"/>
        <w:spacing w:line="288" w:lineRule="auto"/>
        <w:ind w:left="420" w:hanging="420"/>
        <w:textAlignment w:val="baseline"/>
        <w:outlineLvl w:val="2"/>
        <w:rPr>
          <w:rFonts w:ascii="宋体" w:hAnsi="宋体" w:cs="宋体"/>
          <w:b/>
          <w:color w:val="000000"/>
          <w:kern w:val="0"/>
          <w:sz w:val="21"/>
          <w:szCs w:val="21"/>
        </w:rPr>
      </w:pPr>
      <w:r>
        <w:rPr>
          <w:rFonts w:hint="eastAsia" w:ascii="宋体" w:hAnsi="宋体" w:cs="宋体"/>
          <w:b/>
          <w:color w:val="000000"/>
          <w:kern w:val="0"/>
          <w:sz w:val="21"/>
          <w:szCs w:val="21"/>
        </w:rPr>
        <w:t>（9）故障处理要求</w:t>
      </w:r>
    </w:p>
    <w:p>
      <w:pPr>
        <w:spacing w:line="288" w:lineRule="auto"/>
        <w:ind w:firstLine="480"/>
        <w:rPr>
          <w:rFonts w:ascii="宋体" w:hAnsi="宋体" w:cs="宋体"/>
          <w:sz w:val="21"/>
          <w:szCs w:val="21"/>
        </w:rPr>
      </w:pPr>
      <w:r>
        <w:rPr>
          <w:rFonts w:hint="eastAsia" w:ascii="宋体" w:hAnsi="宋体" w:cs="宋体"/>
          <w:sz w:val="21"/>
          <w:szCs w:val="21"/>
        </w:rPr>
        <w:t>-明确故障响应和故障解决的时间。如果服务出现故障，在规定的故障解决时间内解决故障，并向浙江大学图书馆提交故障报告；</w:t>
      </w:r>
    </w:p>
    <w:p>
      <w:pPr>
        <w:spacing w:line="288" w:lineRule="auto"/>
        <w:ind w:firstLine="480"/>
        <w:rPr>
          <w:rFonts w:ascii="宋体" w:hAnsi="宋体" w:cs="宋体"/>
          <w:sz w:val="21"/>
          <w:szCs w:val="21"/>
        </w:rPr>
      </w:pPr>
      <w:r>
        <w:rPr>
          <w:rFonts w:hint="eastAsia" w:ascii="宋体" w:hAnsi="宋体" w:cs="宋体"/>
          <w:sz w:val="21"/>
          <w:szCs w:val="21"/>
        </w:rPr>
        <w:t>-对电力供应及网络连接等发生的意外情况紧急寻呼告警，并以最快速度排除故障；</w:t>
      </w:r>
    </w:p>
    <w:p>
      <w:pPr>
        <w:spacing w:line="288" w:lineRule="auto"/>
        <w:ind w:firstLine="480"/>
        <w:rPr>
          <w:rFonts w:ascii="宋体" w:hAnsi="宋体" w:cs="宋体"/>
          <w:sz w:val="21"/>
          <w:szCs w:val="21"/>
        </w:rPr>
      </w:pPr>
      <w:r>
        <w:rPr>
          <w:rFonts w:hint="eastAsia" w:ascii="宋体" w:hAnsi="宋体" w:cs="宋体"/>
          <w:sz w:val="21"/>
          <w:szCs w:val="21"/>
        </w:rPr>
        <w:t>-提供7×24小时的客户服务，保证响应时间不超过15分钟。</w:t>
      </w:r>
    </w:p>
    <w:p>
      <w:pPr>
        <w:tabs>
          <w:tab w:val="left" w:pos="709"/>
        </w:tabs>
        <w:autoSpaceDE w:val="0"/>
        <w:autoSpaceDN w:val="0"/>
        <w:adjustRightInd w:val="0"/>
        <w:spacing w:line="288" w:lineRule="auto"/>
        <w:ind w:left="420" w:hanging="420"/>
        <w:textAlignment w:val="baseline"/>
        <w:outlineLvl w:val="2"/>
        <w:rPr>
          <w:rFonts w:ascii="宋体" w:hAnsi="宋体" w:cs="宋体"/>
          <w:b/>
          <w:color w:val="000000"/>
          <w:kern w:val="0"/>
          <w:sz w:val="21"/>
          <w:szCs w:val="21"/>
        </w:rPr>
      </w:pPr>
      <w:r>
        <w:rPr>
          <w:rFonts w:hint="eastAsia" w:ascii="宋体" w:hAnsi="宋体" w:cs="宋体"/>
          <w:b/>
          <w:color w:val="000000"/>
          <w:kern w:val="0"/>
          <w:sz w:val="21"/>
          <w:szCs w:val="21"/>
        </w:rPr>
        <w:t>（10）技术支持</w:t>
      </w:r>
    </w:p>
    <w:p>
      <w:pPr>
        <w:spacing w:line="288" w:lineRule="auto"/>
        <w:ind w:firstLine="480"/>
        <w:rPr>
          <w:rFonts w:ascii="宋体" w:hAnsi="宋体" w:cs="宋体"/>
          <w:sz w:val="21"/>
          <w:szCs w:val="21"/>
        </w:rPr>
      </w:pPr>
      <w:r>
        <w:rPr>
          <w:rFonts w:hint="eastAsia" w:ascii="宋体" w:hAnsi="宋体" w:cs="宋体"/>
          <w:sz w:val="21"/>
          <w:szCs w:val="21"/>
        </w:rPr>
        <w:t>-提供7×24小时技术支持服务；</w:t>
      </w:r>
    </w:p>
    <w:p>
      <w:pPr>
        <w:spacing w:line="288" w:lineRule="auto"/>
        <w:ind w:firstLine="480"/>
        <w:rPr>
          <w:rFonts w:ascii="宋体" w:hAnsi="宋体" w:cs="宋体"/>
          <w:sz w:val="21"/>
          <w:szCs w:val="21"/>
        </w:rPr>
      </w:pPr>
      <w:r>
        <w:rPr>
          <w:rFonts w:hint="eastAsia" w:ascii="宋体" w:hAnsi="宋体" w:cs="宋体"/>
          <w:sz w:val="21"/>
          <w:szCs w:val="21"/>
        </w:rPr>
        <w:t>-提供7×24小时的客服热线；</w:t>
      </w:r>
    </w:p>
    <w:p>
      <w:pPr>
        <w:spacing w:line="288" w:lineRule="auto"/>
        <w:ind w:firstLine="480"/>
        <w:rPr>
          <w:rFonts w:ascii="宋体" w:hAnsi="宋体" w:cs="宋体"/>
          <w:sz w:val="21"/>
          <w:szCs w:val="21"/>
        </w:rPr>
      </w:pPr>
      <w:r>
        <w:rPr>
          <w:rFonts w:hint="eastAsia" w:ascii="宋体" w:hAnsi="宋体" w:cs="宋体"/>
          <w:sz w:val="21"/>
          <w:szCs w:val="21"/>
        </w:rPr>
        <w:t>-有专人对提供给浙江大学图书馆数据存储业务的服务进行跟踪和监测；</w:t>
      </w:r>
    </w:p>
    <w:p>
      <w:pPr>
        <w:spacing w:line="288" w:lineRule="auto"/>
        <w:ind w:firstLine="480"/>
        <w:rPr>
          <w:rFonts w:ascii="宋体" w:hAnsi="宋体" w:cs="宋体"/>
          <w:sz w:val="21"/>
          <w:szCs w:val="21"/>
        </w:rPr>
      </w:pPr>
      <w:r>
        <w:rPr>
          <w:rFonts w:hint="eastAsia" w:ascii="宋体" w:hAnsi="宋体" w:cs="宋体"/>
          <w:sz w:val="21"/>
          <w:szCs w:val="21"/>
        </w:rPr>
        <w:t>-提供机房本地7×24小时操作系统重装、机器上架、重启等服务。</w:t>
      </w:r>
    </w:p>
    <w:p>
      <w:pPr>
        <w:keepNext/>
        <w:keepLines/>
        <w:tabs>
          <w:tab w:val="left" w:pos="720"/>
        </w:tabs>
        <w:spacing w:line="288" w:lineRule="auto"/>
        <w:outlineLvl w:val="1"/>
        <w:rPr>
          <w:rFonts w:ascii="宋体" w:hAnsi="宋体" w:cs="宋体"/>
          <w:b/>
          <w:sz w:val="21"/>
          <w:szCs w:val="21"/>
        </w:rPr>
      </w:pPr>
      <w:bookmarkStart w:id="39" w:name="_Toc256719020"/>
      <w:r>
        <w:rPr>
          <w:rFonts w:hint="eastAsia" w:ascii="宋体" w:hAnsi="宋体" w:cs="宋体"/>
          <w:b/>
          <w:bCs/>
          <w:sz w:val="21"/>
          <w:szCs w:val="21"/>
        </w:rPr>
        <w:t>附一：故障等级定义：</w:t>
      </w:r>
    </w:p>
    <w:p>
      <w:pPr>
        <w:keepNext/>
        <w:keepLines/>
        <w:numPr>
          <w:ilvl w:val="3"/>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特大故障：达到以下任一点即为特大故障：</w:t>
      </w:r>
    </w:p>
    <w:p>
      <w:pPr>
        <w:keepNext/>
        <w:keepLines/>
        <w:numPr>
          <w:ilvl w:val="4"/>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任何影响系统运行，并造成业务中断的问题；</w:t>
      </w:r>
    </w:p>
    <w:p>
      <w:pPr>
        <w:keepNext/>
        <w:keepLines/>
        <w:numPr>
          <w:ilvl w:val="4"/>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影响用户大于1000户；</w:t>
      </w:r>
    </w:p>
    <w:p>
      <w:pPr>
        <w:keepNext/>
        <w:keepLines/>
        <w:numPr>
          <w:ilvl w:val="4"/>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造成全网10%用户业务中断的问题；</w:t>
      </w:r>
    </w:p>
    <w:p>
      <w:pPr>
        <w:keepNext/>
        <w:keepLines/>
        <w:numPr>
          <w:ilvl w:val="4"/>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任何运营管理系统、生产系统瘫痪超过一小时；严重影响栏目上线及时性和有时限要求重要新闻，一小时内无处理结果。</w:t>
      </w:r>
    </w:p>
    <w:p>
      <w:pPr>
        <w:keepNext/>
        <w:keepLines/>
        <w:numPr>
          <w:ilvl w:val="3"/>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重大故障：达到以下任一点即为重大故障：</w:t>
      </w:r>
    </w:p>
    <w:p>
      <w:pPr>
        <w:keepNext/>
        <w:keepLines/>
        <w:numPr>
          <w:ilvl w:val="4"/>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任何影响系统运行，但未造成业务中断的问题；</w:t>
      </w:r>
    </w:p>
    <w:p>
      <w:pPr>
        <w:keepNext/>
        <w:keepLines/>
        <w:numPr>
          <w:ilvl w:val="4"/>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影响用户大于500户；</w:t>
      </w:r>
    </w:p>
    <w:p>
      <w:pPr>
        <w:keepNext/>
        <w:keepLines/>
        <w:numPr>
          <w:ilvl w:val="4"/>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造成全网5%用户业务中断的问题；</w:t>
      </w:r>
    </w:p>
    <w:p>
      <w:pPr>
        <w:keepNext/>
        <w:keepLines/>
        <w:numPr>
          <w:ilvl w:val="4"/>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任何运营管理系统、生产系统重要功能模块出现问题，严重影响业务部门的工作效率。</w:t>
      </w:r>
    </w:p>
    <w:p>
      <w:pPr>
        <w:keepNext/>
        <w:keepLines/>
        <w:numPr>
          <w:ilvl w:val="3"/>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一般故障：达到以下任一点即为一般故障：</w:t>
      </w:r>
    </w:p>
    <w:p>
      <w:pPr>
        <w:keepNext/>
        <w:keepLines/>
        <w:numPr>
          <w:ilvl w:val="4"/>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网络性能受到影响，但未影响整个业务的运行；</w:t>
      </w:r>
    </w:p>
    <w:p>
      <w:pPr>
        <w:keepNext/>
        <w:keepLines/>
        <w:numPr>
          <w:ilvl w:val="4"/>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影响用户大于100户，但未影响整个网络的运行；</w:t>
      </w:r>
    </w:p>
    <w:p>
      <w:pPr>
        <w:keepNext/>
        <w:keepLines/>
        <w:numPr>
          <w:ilvl w:val="3"/>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轻微故障：网络运行和业务不受影响；</w:t>
      </w:r>
    </w:p>
    <w:p>
      <w:pPr>
        <w:keepNext/>
        <w:keepLines/>
        <w:numPr>
          <w:ilvl w:val="3"/>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故障解决时间：</w:t>
      </w:r>
    </w:p>
    <w:p>
      <w:pPr>
        <w:keepNext/>
        <w:keepLines/>
        <w:numPr>
          <w:ilvl w:val="4"/>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特大故障：原厂及供应商工程师承诺在收到用户通知2小时内保证解决，如果不能在2小时内解决的，则需在此时间内把故障降低至少一个等级，同时在该时间段内提供对应的备件；</w:t>
      </w:r>
    </w:p>
    <w:p>
      <w:pPr>
        <w:keepNext/>
        <w:keepLines/>
        <w:numPr>
          <w:ilvl w:val="4"/>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重大故障：原厂及供应商工程师承诺收到用户通知4小时内保证解决问题，如果不能在4小时内解决故障，则需在此时间内把故障降低至少一个等级，同时在该时间段内提供对应的备件；</w:t>
      </w:r>
    </w:p>
    <w:p>
      <w:pPr>
        <w:keepNext/>
        <w:keepLines/>
        <w:numPr>
          <w:ilvl w:val="4"/>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一般故障：供应商工程师将在收到用户通知8小时内保证解决问题；</w:t>
      </w:r>
    </w:p>
    <w:p>
      <w:pPr>
        <w:keepNext/>
        <w:keepLines/>
        <w:numPr>
          <w:ilvl w:val="4"/>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轻微故障：供应商工程师将在收到用户通知24小时内保证解决问题。</w:t>
      </w:r>
    </w:p>
    <w:p>
      <w:pPr>
        <w:keepNext/>
        <w:keepLines/>
        <w:numPr>
          <w:ilvl w:val="3"/>
          <w:numId w:val="2"/>
        </w:numPr>
        <w:spacing w:line="288" w:lineRule="auto"/>
        <w:ind w:left="0" w:firstLine="420" w:firstLineChars="200"/>
        <w:outlineLvl w:val="1"/>
        <w:rPr>
          <w:rFonts w:ascii="宋体" w:hAnsi="宋体" w:cs="宋体"/>
          <w:bCs/>
          <w:sz w:val="21"/>
          <w:szCs w:val="21"/>
        </w:rPr>
      </w:pPr>
      <w:r>
        <w:rPr>
          <w:rFonts w:hint="eastAsia" w:ascii="宋体" w:hAnsi="宋体" w:cs="宋体"/>
          <w:bCs/>
          <w:sz w:val="21"/>
          <w:szCs w:val="21"/>
        </w:rPr>
        <w:t>故障具体响应时间如下表：</w:t>
      </w:r>
    </w:p>
    <w:tbl>
      <w:tblPr>
        <w:tblStyle w:val="21"/>
        <w:tblW w:w="5000" w:type="pct"/>
        <w:tblInd w:w="0" w:type="dxa"/>
        <w:tblLayout w:type="autofit"/>
        <w:tblCellMar>
          <w:top w:w="0" w:type="dxa"/>
          <w:left w:w="108" w:type="dxa"/>
          <w:bottom w:w="0" w:type="dxa"/>
          <w:right w:w="108" w:type="dxa"/>
        </w:tblCellMar>
      </w:tblPr>
      <w:tblGrid>
        <w:gridCol w:w="1433"/>
        <w:gridCol w:w="1356"/>
        <w:gridCol w:w="2504"/>
        <w:gridCol w:w="2261"/>
        <w:gridCol w:w="2074"/>
      </w:tblGrid>
      <w:tr>
        <w:tblPrEx>
          <w:tblCellMar>
            <w:top w:w="0" w:type="dxa"/>
            <w:left w:w="108" w:type="dxa"/>
            <w:bottom w:w="0" w:type="dxa"/>
            <w:right w:w="108" w:type="dxa"/>
          </w:tblCellMar>
        </w:tblPrEx>
        <w:trPr>
          <w:trHeight w:val="336" w:hRule="atLeast"/>
        </w:trPr>
        <w:tc>
          <w:tcPr>
            <w:tcW w:w="744" w:type="pct"/>
            <w:tcBorders>
              <w:top w:val="single" w:color="auto" w:sz="4" w:space="0"/>
              <w:left w:val="single" w:color="auto" w:sz="4" w:space="0"/>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故障种类</w:t>
            </w:r>
          </w:p>
        </w:tc>
        <w:tc>
          <w:tcPr>
            <w:tcW w:w="704"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响应时间</w:t>
            </w:r>
          </w:p>
        </w:tc>
        <w:tc>
          <w:tcPr>
            <w:tcW w:w="1300"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到达现场时间</w:t>
            </w:r>
          </w:p>
        </w:tc>
        <w:tc>
          <w:tcPr>
            <w:tcW w:w="1174"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故障定位时间</w:t>
            </w:r>
          </w:p>
        </w:tc>
        <w:tc>
          <w:tcPr>
            <w:tcW w:w="1077"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故障排除时间</w:t>
            </w:r>
          </w:p>
        </w:tc>
      </w:tr>
      <w:tr>
        <w:tblPrEx>
          <w:tblCellMar>
            <w:top w:w="0" w:type="dxa"/>
            <w:left w:w="108" w:type="dxa"/>
            <w:bottom w:w="0" w:type="dxa"/>
            <w:right w:w="108" w:type="dxa"/>
          </w:tblCellMar>
        </w:tblPrEx>
        <w:trPr>
          <w:trHeight w:val="336" w:hRule="atLeast"/>
        </w:trPr>
        <w:tc>
          <w:tcPr>
            <w:tcW w:w="744" w:type="pct"/>
            <w:tcBorders>
              <w:top w:val="single" w:color="auto" w:sz="4" w:space="0"/>
              <w:left w:val="single" w:color="auto" w:sz="4" w:space="0"/>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特大故障</w:t>
            </w:r>
          </w:p>
        </w:tc>
        <w:tc>
          <w:tcPr>
            <w:tcW w:w="704"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15分钟</w:t>
            </w:r>
          </w:p>
        </w:tc>
        <w:tc>
          <w:tcPr>
            <w:tcW w:w="1300"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1小时</w:t>
            </w:r>
          </w:p>
        </w:tc>
        <w:tc>
          <w:tcPr>
            <w:tcW w:w="1174"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1小时</w:t>
            </w:r>
          </w:p>
        </w:tc>
        <w:tc>
          <w:tcPr>
            <w:tcW w:w="1077"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2小时</w:t>
            </w:r>
          </w:p>
        </w:tc>
      </w:tr>
      <w:tr>
        <w:tblPrEx>
          <w:tblCellMar>
            <w:top w:w="0" w:type="dxa"/>
            <w:left w:w="108" w:type="dxa"/>
            <w:bottom w:w="0" w:type="dxa"/>
            <w:right w:w="108" w:type="dxa"/>
          </w:tblCellMar>
        </w:tblPrEx>
        <w:trPr>
          <w:trHeight w:val="336" w:hRule="atLeast"/>
        </w:trPr>
        <w:tc>
          <w:tcPr>
            <w:tcW w:w="744" w:type="pct"/>
            <w:tcBorders>
              <w:top w:val="single" w:color="auto" w:sz="4" w:space="0"/>
              <w:left w:val="single" w:color="auto" w:sz="4" w:space="0"/>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重大故障</w:t>
            </w:r>
          </w:p>
        </w:tc>
        <w:tc>
          <w:tcPr>
            <w:tcW w:w="704"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15分钟</w:t>
            </w:r>
          </w:p>
        </w:tc>
        <w:tc>
          <w:tcPr>
            <w:tcW w:w="1300"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1小时</w:t>
            </w:r>
          </w:p>
        </w:tc>
        <w:tc>
          <w:tcPr>
            <w:tcW w:w="1174"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2小时</w:t>
            </w:r>
          </w:p>
        </w:tc>
        <w:tc>
          <w:tcPr>
            <w:tcW w:w="1077"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4小时</w:t>
            </w:r>
          </w:p>
        </w:tc>
      </w:tr>
      <w:tr>
        <w:tblPrEx>
          <w:tblCellMar>
            <w:top w:w="0" w:type="dxa"/>
            <w:left w:w="108" w:type="dxa"/>
            <w:bottom w:w="0" w:type="dxa"/>
            <w:right w:w="108" w:type="dxa"/>
          </w:tblCellMar>
        </w:tblPrEx>
        <w:trPr>
          <w:trHeight w:val="336" w:hRule="atLeast"/>
        </w:trPr>
        <w:tc>
          <w:tcPr>
            <w:tcW w:w="744" w:type="pct"/>
            <w:tcBorders>
              <w:top w:val="single" w:color="auto" w:sz="4" w:space="0"/>
              <w:left w:val="single" w:color="auto" w:sz="4" w:space="0"/>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一般故障</w:t>
            </w:r>
          </w:p>
        </w:tc>
        <w:tc>
          <w:tcPr>
            <w:tcW w:w="704"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15分钟</w:t>
            </w:r>
          </w:p>
        </w:tc>
        <w:tc>
          <w:tcPr>
            <w:tcW w:w="1300"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2小时</w:t>
            </w:r>
          </w:p>
        </w:tc>
        <w:tc>
          <w:tcPr>
            <w:tcW w:w="1174"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4小时</w:t>
            </w:r>
          </w:p>
        </w:tc>
        <w:tc>
          <w:tcPr>
            <w:tcW w:w="1077"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8小时</w:t>
            </w:r>
          </w:p>
        </w:tc>
      </w:tr>
      <w:tr>
        <w:tblPrEx>
          <w:tblCellMar>
            <w:top w:w="0" w:type="dxa"/>
            <w:left w:w="108" w:type="dxa"/>
            <w:bottom w:w="0" w:type="dxa"/>
            <w:right w:w="108" w:type="dxa"/>
          </w:tblCellMar>
        </w:tblPrEx>
        <w:trPr>
          <w:trHeight w:val="336" w:hRule="atLeast"/>
        </w:trPr>
        <w:tc>
          <w:tcPr>
            <w:tcW w:w="744" w:type="pct"/>
            <w:tcBorders>
              <w:top w:val="single" w:color="auto" w:sz="4" w:space="0"/>
              <w:left w:val="single" w:color="auto" w:sz="4" w:space="0"/>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轻微故障</w:t>
            </w:r>
          </w:p>
        </w:tc>
        <w:tc>
          <w:tcPr>
            <w:tcW w:w="704"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30分钟</w:t>
            </w:r>
          </w:p>
        </w:tc>
        <w:tc>
          <w:tcPr>
            <w:tcW w:w="1300"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4小时</w:t>
            </w:r>
          </w:p>
        </w:tc>
        <w:tc>
          <w:tcPr>
            <w:tcW w:w="1174"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8小时</w:t>
            </w:r>
          </w:p>
        </w:tc>
        <w:tc>
          <w:tcPr>
            <w:tcW w:w="1077" w:type="pct"/>
            <w:tcBorders>
              <w:top w:val="single" w:color="auto" w:sz="4" w:space="0"/>
              <w:left w:val="nil"/>
              <w:bottom w:val="single" w:color="auto" w:sz="4" w:space="0"/>
              <w:right w:val="single" w:color="auto" w:sz="4" w:space="0"/>
            </w:tcBorders>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24小时</w:t>
            </w:r>
          </w:p>
        </w:tc>
      </w:tr>
    </w:tbl>
    <w:p>
      <w:pPr>
        <w:keepNext/>
        <w:keepLines/>
        <w:tabs>
          <w:tab w:val="left" w:pos="720"/>
        </w:tabs>
        <w:spacing w:before="240" w:beforeLines="100" w:line="288" w:lineRule="auto"/>
        <w:outlineLvl w:val="1"/>
        <w:rPr>
          <w:rFonts w:ascii="宋体" w:hAnsi="宋体" w:cs="宋体"/>
          <w:b/>
          <w:bCs/>
          <w:sz w:val="21"/>
          <w:szCs w:val="21"/>
        </w:rPr>
      </w:pPr>
      <w:r>
        <w:rPr>
          <w:rFonts w:hint="eastAsia" w:ascii="宋体" w:hAnsi="宋体" w:cs="宋体"/>
          <w:b/>
          <w:bCs/>
          <w:sz w:val="21"/>
          <w:szCs w:val="21"/>
        </w:rPr>
        <w:t>附二：技术</w:t>
      </w:r>
      <w:bookmarkEnd w:id="39"/>
      <w:r>
        <w:rPr>
          <w:rFonts w:hint="eastAsia" w:ascii="宋体" w:hAnsi="宋体" w:cs="宋体"/>
          <w:b/>
          <w:bCs/>
          <w:sz w:val="21"/>
          <w:szCs w:val="21"/>
        </w:rPr>
        <w:t>指标及功能要求</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6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b/>
                <w:sz w:val="21"/>
                <w:szCs w:val="21"/>
              </w:rPr>
            </w:pPr>
            <w:r>
              <w:rPr>
                <w:rFonts w:hint="eastAsia" w:ascii="宋体" w:hAnsi="宋体" w:cs="宋体"/>
                <w:b/>
                <w:sz w:val="21"/>
                <w:szCs w:val="21"/>
              </w:rPr>
              <w:t>项目</w:t>
            </w:r>
          </w:p>
        </w:tc>
        <w:tc>
          <w:tcPr>
            <w:tcW w:w="3431" w:type="pct"/>
            <w:vAlign w:val="center"/>
          </w:tcPr>
          <w:p>
            <w:pPr>
              <w:autoSpaceDN w:val="0"/>
              <w:spacing w:line="288" w:lineRule="auto"/>
              <w:jc w:val="center"/>
              <w:textAlignment w:val="center"/>
              <w:rPr>
                <w:rFonts w:ascii="宋体" w:hAnsi="宋体" w:cs="宋体"/>
                <w:b/>
                <w:sz w:val="21"/>
                <w:szCs w:val="21"/>
              </w:rPr>
            </w:pPr>
            <w:r>
              <w:rPr>
                <w:rFonts w:hint="eastAsia" w:ascii="宋体" w:hAnsi="宋体" w:cs="宋体"/>
                <w:b/>
                <w:sz w:val="21"/>
                <w:szCs w:val="21"/>
              </w:rPr>
              <w:t>技术指标及功能要求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IDC资质</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拥有IDC运营资质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lang w:eastAsia="zh-Hans"/>
              </w:rPr>
            </w:pPr>
            <w:r>
              <w:rPr>
                <w:rFonts w:hint="eastAsia" w:ascii="宋体" w:hAnsi="宋体" w:cs="宋体"/>
                <w:sz w:val="21"/>
                <w:szCs w:val="21"/>
                <w:lang w:eastAsia="zh-Hans"/>
              </w:rPr>
              <w:t>机房建筑</w:t>
            </w:r>
          </w:p>
        </w:tc>
        <w:tc>
          <w:tcPr>
            <w:tcW w:w="3431" w:type="pct"/>
            <w:vAlign w:val="center"/>
          </w:tcPr>
          <w:p>
            <w:pPr>
              <w:autoSpaceDN w:val="0"/>
              <w:spacing w:line="288" w:lineRule="auto"/>
              <w:jc w:val="center"/>
              <w:textAlignment w:val="center"/>
              <w:rPr>
                <w:rFonts w:ascii="宋体" w:hAnsi="宋体" w:cs="宋体"/>
                <w:b/>
                <w:bCs/>
                <w:sz w:val="21"/>
                <w:szCs w:val="21"/>
              </w:rPr>
            </w:pPr>
            <w:r>
              <w:rPr>
                <w:rFonts w:hint="eastAsia" w:ascii="宋体" w:hAnsi="宋体" w:cs="宋体"/>
                <w:b w:val="0"/>
                <w:bCs w:val="0"/>
                <w:sz w:val="21"/>
                <w:szCs w:val="21"/>
                <w:lang w:eastAsia="zh-Hans"/>
              </w:rPr>
              <w:t>要求机房建筑为独栋建筑物</w:t>
            </w:r>
            <w:r>
              <w:rPr>
                <w:rFonts w:ascii="宋体" w:hAnsi="宋体" w:cs="宋体"/>
                <w:b w:val="0"/>
                <w:bCs w:val="0"/>
                <w:sz w:val="21"/>
                <w:szCs w:val="21"/>
                <w:lang w:eastAsia="zh-Hans"/>
              </w:rPr>
              <w:t>，</w:t>
            </w:r>
            <w:r>
              <w:rPr>
                <w:rFonts w:hint="eastAsia" w:ascii="宋体" w:hAnsi="宋体" w:cs="宋体"/>
                <w:b w:val="0"/>
                <w:bCs w:val="0"/>
                <w:sz w:val="21"/>
                <w:szCs w:val="21"/>
                <w:lang w:eastAsia="zh-Hans"/>
              </w:rPr>
              <w:t>且机房独立使用该建筑物</w:t>
            </w:r>
            <w:r>
              <w:rPr>
                <w:rFonts w:ascii="宋体" w:hAnsi="宋体" w:cs="宋体"/>
                <w:b w:val="0"/>
                <w:bCs w:val="0"/>
                <w:sz w:val="21"/>
                <w:szCs w:val="21"/>
                <w:lang w:eastAsia="zh-Hans"/>
              </w:rPr>
              <w:t>，</w:t>
            </w:r>
            <w:r>
              <w:rPr>
                <w:rFonts w:hint="eastAsia" w:ascii="宋体" w:hAnsi="宋体" w:cs="宋体"/>
                <w:b w:val="0"/>
                <w:bCs w:val="0"/>
                <w:sz w:val="21"/>
                <w:szCs w:val="21"/>
                <w:lang w:eastAsia="zh-Hans"/>
              </w:rPr>
              <w:t>不与其他单位共用此建筑物</w:t>
            </w:r>
            <w:r>
              <w:rPr>
                <w:rFonts w:ascii="宋体" w:hAnsi="宋体" w:cs="宋体"/>
                <w:b w:val="0"/>
                <w:bCs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Merge w:val="restar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出口资源</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拥有电信资源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Merge w:val="continue"/>
            <w:vAlign w:val="center"/>
          </w:tcPr>
          <w:p>
            <w:pPr>
              <w:autoSpaceDN w:val="0"/>
              <w:spacing w:line="288" w:lineRule="auto"/>
              <w:jc w:val="center"/>
              <w:textAlignment w:val="center"/>
              <w:rPr>
                <w:rFonts w:ascii="宋体" w:hAnsi="宋体" w:cs="宋体"/>
                <w:sz w:val="21"/>
                <w:szCs w:val="21"/>
              </w:rPr>
            </w:pP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拥有网通资源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Merge w:val="continue"/>
            <w:vAlign w:val="center"/>
          </w:tcPr>
          <w:p>
            <w:pPr>
              <w:autoSpaceDN w:val="0"/>
              <w:spacing w:line="288" w:lineRule="auto"/>
              <w:jc w:val="center"/>
              <w:textAlignment w:val="center"/>
              <w:rPr>
                <w:rFonts w:ascii="宋体" w:hAnsi="宋体" w:cs="宋体"/>
                <w:sz w:val="21"/>
                <w:szCs w:val="21"/>
              </w:rPr>
            </w:pP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拥有教育网资源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Merge w:val="continue"/>
            <w:vAlign w:val="center"/>
          </w:tcPr>
          <w:p>
            <w:pPr>
              <w:autoSpaceDN w:val="0"/>
              <w:spacing w:line="288" w:lineRule="auto"/>
              <w:jc w:val="center"/>
              <w:textAlignment w:val="center"/>
              <w:rPr>
                <w:rFonts w:ascii="宋体" w:hAnsi="宋体" w:cs="宋体"/>
                <w:sz w:val="21"/>
                <w:szCs w:val="21"/>
              </w:rPr>
            </w:pP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拥有移动资源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Merge w:val="continue"/>
            <w:vAlign w:val="center"/>
          </w:tcPr>
          <w:p>
            <w:pPr>
              <w:autoSpaceDN w:val="0"/>
              <w:spacing w:line="288" w:lineRule="auto"/>
              <w:jc w:val="center"/>
              <w:textAlignment w:val="center"/>
              <w:rPr>
                <w:rFonts w:ascii="宋体" w:hAnsi="宋体" w:cs="宋体"/>
                <w:sz w:val="21"/>
                <w:szCs w:val="21"/>
              </w:rPr>
            </w:pP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拥有BGP资源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Merge w:val="restar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机房专线资源</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可提供光纤线路布线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Merge w:val="continue"/>
            <w:vAlign w:val="center"/>
          </w:tcPr>
          <w:p>
            <w:pPr>
              <w:autoSpaceDN w:val="0"/>
              <w:spacing w:line="288" w:lineRule="auto"/>
              <w:jc w:val="center"/>
              <w:textAlignment w:val="center"/>
              <w:rPr>
                <w:rFonts w:ascii="宋体" w:hAnsi="宋体" w:cs="宋体"/>
                <w:sz w:val="21"/>
                <w:szCs w:val="21"/>
              </w:rPr>
            </w:pP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可提供千兆线路布线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Merge w:val="restar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机柜电源线路</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机柜提供双路电源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Merge w:val="continue"/>
            <w:vAlign w:val="center"/>
          </w:tcPr>
          <w:p>
            <w:pPr>
              <w:autoSpaceDN w:val="0"/>
              <w:spacing w:line="288" w:lineRule="auto"/>
              <w:jc w:val="center"/>
              <w:textAlignment w:val="center"/>
              <w:rPr>
                <w:rFonts w:ascii="宋体" w:hAnsi="宋体" w:cs="宋体"/>
                <w:sz w:val="21"/>
                <w:szCs w:val="21"/>
              </w:rPr>
            </w:pP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能够对电力和接口进行改造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Merge w:val="continue"/>
            <w:vAlign w:val="center"/>
          </w:tcPr>
          <w:p>
            <w:pPr>
              <w:autoSpaceDN w:val="0"/>
              <w:spacing w:line="288" w:lineRule="auto"/>
              <w:jc w:val="center"/>
              <w:textAlignment w:val="center"/>
              <w:rPr>
                <w:rFonts w:ascii="宋体" w:hAnsi="宋体" w:cs="宋体"/>
                <w:sz w:val="21"/>
                <w:szCs w:val="21"/>
              </w:rPr>
            </w:pP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单机柜提供电力大于16A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Merge w:val="continue"/>
            <w:vAlign w:val="center"/>
          </w:tcPr>
          <w:p>
            <w:pPr>
              <w:autoSpaceDN w:val="0"/>
              <w:spacing w:line="288" w:lineRule="auto"/>
              <w:jc w:val="center"/>
              <w:textAlignment w:val="center"/>
              <w:rPr>
                <w:rFonts w:ascii="宋体" w:hAnsi="宋体" w:cs="宋体"/>
                <w:sz w:val="21"/>
                <w:szCs w:val="21"/>
              </w:rPr>
            </w:pP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单独机柜提供双路插座大于20个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Merge w:val="restar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独立区域</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能够提供独立VIP区域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Merge w:val="continue"/>
            <w:vAlign w:val="center"/>
          </w:tcPr>
          <w:p>
            <w:pPr>
              <w:autoSpaceDN w:val="0"/>
              <w:spacing w:line="288" w:lineRule="auto"/>
              <w:jc w:val="center"/>
              <w:textAlignment w:val="center"/>
              <w:rPr>
                <w:rFonts w:ascii="宋体" w:hAnsi="宋体" w:cs="宋体"/>
                <w:sz w:val="21"/>
                <w:szCs w:val="21"/>
              </w:rPr>
            </w:pP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独立区域可放置大于32个机柜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Merge w:val="continue"/>
            <w:vAlign w:val="center"/>
          </w:tcPr>
          <w:p>
            <w:pPr>
              <w:autoSpaceDN w:val="0"/>
              <w:spacing w:line="288" w:lineRule="auto"/>
              <w:jc w:val="center"/>
              <w:textAlignment w:val="center"/>
              <w:rPr>
                <w:rFonts w:ascii="宋体" w:hAnsi="宋体" w:cs="宋体"/>
                <w:sz w:val="21"/>
                <w:szCs w:val="21"/>
              </w:rPr>
            </w:pP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能提供单独的门禁及安全系统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地板承重</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大于600KG/㎡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机房建设质量标准</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高于T3或者同等水平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市电</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最少两路市电（不同变电所）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UPS</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保证满负荷超过60分钟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空调</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保证机房温度在规定范围内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机柜高度</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不低于4</w:t>
            </w:r>
            <w:r>
              <w:rPr>
                <w:rFonts w:ascii="宋体" w:hAnsi="宋体" w:cs="宋体"/>
                <w:sz w:val="21"/>
                <w:szCs w:val="21"/>
              </w:rPr>
              <w:t>5</w:t>
            </w:r>
            <w:r>
              <w:rPr>
                <w:rFonts w:hint="eastAsia" w:ascii="宋体" w:hAnsi="宋体" w:cs="宋体"/>
                <w:sz w:val="21"/>
                <w:szCs w:val="21"/>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机柜宽度</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标准19英寸机柜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机柜走线方式</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标准上走线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机柜隔板数量</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大于12个隔板，且能按需提供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安防</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门禁</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火灾警系统</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灭火系统</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温湿度控制</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机房防水</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漏水检测系统</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事件通知系统</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机房防雷</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接地</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8"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机房控制系统</w:t>
            </w:r>
          </w:p>
        </w:tc>
        <w:tc>
          <w:tcPr>
            <w:tcW w:w="3431" w:type="pct"/>
            <w:vAlign w:val="center"/>
          </w:tcPr>
          <w:p>
            <w:pPr>
              <w:autoSpaceDN w:val="0"/>
              <w:spacing w:line="288" w:lineRule="auto"/>
              <w:jc w:val="center"/>
              <w:textAlignment w:val="center"/>
              <w:rPr>
                <w:rFonts w:ascii="宋体" w:hAnsi="宋体" w:cs="宋体"/>
                <w:sz w:val="21"/>
                <w:szCs w:val="21"/>
              </w:rPr>
            </w:pPr>
            <w:r>
              <w:rPr>
                <w:rFonts w:hint="eastAsia" w:ascii="宋体" w:hAnsi="宋体" w:cs="宋体"/>
                <w:sz w:val="21"/>
                <w:szCs w:val="21"/>
              </w:rPr>
              <w:t>有</w:t>
            </w:r>
          </w:p>
        </w:tc>
      </w:tr>
    </w:tbl>
    <w:p>
      <w:pPr>
        <w:widowControl/>
        <w:adjustRightInd w:val="0"/>
        <w:snapToGrid w:val="0"/>
        <w:spacing w:line="288" w:lineRule="auto"/>
        <w:jc w:val="left"/>
        <w:rPr>
          <w:rFonts w:ascii="宋体" w:hAnsi="宋体"/>
          <w:sz w:val="21"/>
          <w:szCs w:val="21"/>
        </w:rPr>
      </w:pPr>
      <w:r>
        <w:rPr>
          <w:rFonts w:ascii="宋体" w:hAnsi="宋体"/>
          <w:sz w:val="21"/>
          <w:szCs w:val="21"/>
        </w:rPr>
        <w:br w:type="page"/>
      </w:r>
    </w:p>
    <w:p>
      <w:pPr>
        <w:adjustRightInd w:val="0"/>
        <w:snapToGrid w:val="0"/>
        <w:spacing w:line="288" w:lineRule="auto"/>
        <w:jc w:val="center"/>
        <w:outlineLvl w:val="0"/>
        <w:rPr>
          <w:rFonts w:ascii="宋体" w:hAnsi="宋体"/>
          <w:b/>
          <w:sz w:val="32"/>
          <w:szCs w:val="32"/>
        </w:rPr>
      </w:pPr>
      <w:r>
        <w:rPr>
          <w:rFonts w:hint="eastAsia" w:ascii="宋体" w:hAnsi="宋体"/>
          <w:b/>
          <w:sz w:val="32"/>
          <w:szCs w:val="32"/>
        </w:rPr>
        <w:t>第三章  供应商须知</w:t>
      </w:r>
    </w:p>
    <w:p>
      <w:pPr>
        <w:adjustRightInd w:val="0"/>
        <w:snapToGrid w:val="0"/>
        <w:spacing w:line="288" w:lineRule="auto"/>
        <w:ind w:left="238"/>
        <w:jc w:val="center"/>
        <w:rPr>
          <w:rFonts w:ascii="宋体" w:hAnsi="宋体"/>
          <w:b/>
          <w:sz w:val="21"/>
          <w:szCs w:val="21"/>
        </w:rPr>
      </w:pPr>
      <w:r>
        <w:rPr>
          <w:rFonts w:hint="eastAsia" w:ascii="宋体" w:hAnsi="宋体"/>
          <w:b/>
          <w:sz w:val="21"/>
          <w:szCs w:val="21"/>
        </w:rPr>
        <w:t>前附表</w:t>
      </w:r>
    </w:p>
    <w:tbl>
      <w:tblPr>
        <w:tblStyle w:val="2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607"/>
        <w:gridCol w:w="6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条款号</w:t>
            </w:r>
          </w:p>
        </w:tc>
        <w:tc>
          <w:tcPr>
            <w:tcW w:w="1607"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内容</w:t>
            </w:r>
          </w:p>
        </w:tc>
        <w:tc>
          <w:tcPr>
            <w:tcW w:w="6757"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（一）</w:t>
            </w:r>
          </w:p>
        </w:tc>
        <w:tc>
          <w:tcPr>
            <w:tcW w:w="160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适用范围</w:t>
            </w:r>
          </w:p>
        </w:tc>
        <w:tc>
          <w:tcPr>
            <w:tcW w:w="6757"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本磋商文件适用于浙江大学IDC机房机柜托管的磋商、评审、成交、验收、合同履约、付款等（法律、法规另有规定的，从其规定）。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（二）</w:t>
            </w:r>
          </w:p>
        </w:tc>
        <w:tc>
          <w:tcPr>
            <w:tcW w:w="160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采购方式</w:t>
            </w:r>
          </w:p>
        </w:tc>
        <w:tc>
          <w:tcPr>
            <w:tcW w:w="6757"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本次采购采用竞争性磋商方式进行。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（三）</w:t>
            </w:r>
          </w:p>
        </w:tc>
        <w:tc>
          <w:tcPr>
            <w:tcW w:w="160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竞争性磋商委托</w:t>
            </w:r>
          </w:p>
        </w:tc>
        <w:tc>
          <w:tcPr>
            <w:tcW w:w="6757" w:type="dxa"/>
            <w:vAlign w:val="center"/>
          </w:tcPr>
          <w:p>
            <w:pPr>
              <w:adjustRightInd w:val="0"/>
              <w:snapToGrid w:val="0"/>
              <w:spacing w:line="288" w:lineRule="auto"/>
              <w:rPr>
                <w:rFonts w:ascii="宋体" w:hAnsi="宋体"/>
                <w:sz w:val="21"/>
                <w:szCs w:val="21"/>
              </w:rPr>
            </w:pPr>
            <w:r>
              <w:rPr>
                <w:rFonts w:ascii="宋体" w:hAnsi="宋体"/>
                <w:sz w:val="21"/>
                <w:szCs w:val="21"/>
              </w:rPr>
              <w:t>1</w:t>
            </w:r>
            <w:r>
              <w:rPr>
                <w:rFonts w:hint="eastAsia" w:ascii="宋体" w:hAnsi="宋体"/>
                <w:sz w:val="21"/>
                <w:szCs w:val="21"/>
              </w:rPr>
              <w:t>.▲供应商授权代表必须为供应商本单位在职职工，并提供2021年12月（含）以后任意一月社保缴纳证明（授权代表为法定代表人可不提供）。</w:t>
            </w:r>
          </w:p>
          <w:p>
            <w:pPr>
              <w:adjustRightInd w:val="0"/>
              <w:snapToGrid w:val="0"/>
              <w:spacing w:line="288" w:lineRule="auto"/>
              <w:rPr>
                <w:rFonts w:ascii="宋体" w:hAnsi="宋体"/>
                <w:sz w:val="21"/>
                <w:szCs w:val="21"/>
              </w:rPr>
            </w:pPr>
            <w:r>
              <w:rPr>
                <w:rFonts w:ascii="宋体" w:hAnsi="宋体"/>
                <w:sz w:val="21"/>
                <w:szCs w:val="21"/>
              </w:rPr>
              <w:t>2</w:t>
            </w:r>
            <w:r>
              <w:rPr>
                <w:rFonts w:hint="eastAsia" w:ascii="宋体" w:hAnsi="宋体"/>
                <w:sz w:val="21"/>
                <w:szCs w:val="21"/>
              </w:rPr>
              <w:t>.如供应商代表不是法定代表人，须提供法定代表人授权委托书（格式详见磋商文件第六章）。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（四）</w:t>
            </w:r>
          </w:p>
        </w:tc>
        <w:tc>
          <w:tcPr>
            <w:tcW w:w="160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磋商费用</w:t>
            </w:r>
          </w:p>
        </w:tc>
        <w:tc>
          <w:tcPr>
            <w:tcW w:w="6757" w:type="dxa"/>
            <w:vAlign w:val="center"/>
          </w:tcPr>
          <w:p>
            <w:pPr>
              <w:adjustRightInd w:val="0"/>
              <w:snapToGrid w:val="0"/>
              <w:spacing w:line="288" w:lineRule="auto"/>
              <w:rPr>
                <w:rFonts w:ascii="宋体" w:hAnsi="宋体"/>
                <w:sz w:val="21"/>
                <w:szCs w:val="21"/>
              </w:rPr>
            </w:pPr>
            <w:r>
              <w:rPr>
                <w:rFonts w:hint="eastAsia" w:ascii="宋体" w:hAnsi="宋体"/>
                <w:sz w:val="21"/>
                <w:szCs w:val="21"/>
              </w:rPr>
              <w:t>1.不论磋商结果如何，供应商均应自行承担所有与磋商有关的全部费用；</w:t>
            </w:r>
          </w:p>
          <w:p>
            <w:pPr>
              <w:adjustRightInd w:val="0"/>
              <w:snapToGrid w:val="0"/>
              <w:spacing w:line="288" w:lineRule="auto"/>
              <w:rPr>
                <w:rFonts w:ascii="宋体" w:hAnsi="宋体"/>
                <w:sz w:val="21"/>
                <w:szCs w:val="21"/>
              </w:rPr>
            </w:pPr>
            <w:r>
              <w:rPr>
                <w:rFonts w:hint="eastAsia" w:ascii="宋体" w:hAnsi="宋体"/>
                <w:sz w:val="21"/>
                <w:szCs w:val="21"/>
              </w:rPr>
              <w:t>2.成交供应商在成交通知书发出之日起七个工作日内，向采购代理机构交纳代理服务费；</w:t>
            </w:r>
          </w:p>
          <w:p>
            <w:pPr>
              <w:adjustRightInd w:val="0"/>
              <w:snapToGrid w:val="0"/>
              <w:spacing w:line="288" w:lineRule="auto"/>
              <w:rPr>
                <w:rFonts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rFonts w:ascii="宋体" w:hAnsi="宋体"/>
                <w:sz w:val="21"/>
                <w:szCs w:val="21"/>
              </w:rPr>
            </w:pPr>
            <w:bookmarkStart w:id="40" w:name="_Hlk71808378"/>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成交金额（万元）</w:t>
                  </w:r>
                </w:p>
              </w:tc>
              <w:tc>
                <w:tcPr>
                  <w:tcW w:w="2338"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eastAsia="宋体" w:cs="Times New Roman"/>
                      <w:kern w:val="2"/>
                      <w:sz w:val="21"/>
                      <w:szCs w:val="21"/>
                      <w:lang w:val="en-US" w:eastAsia="zh-CN" w:bidi="ar-SA"/>
                    </w:rPr>
                  </w:pPr>
                  <w:r>
                    <w:rPr>
                      <w:rFonts w:hint="eastAsia" w:ascii="宋体" w:hAnsi="宋体"/>
                      <w:sz w:val="21"/>
                      <w:szCs w:val="21"/>
                    </w:rPr>
                    <w:t>100以下</w:t>
                  </w:r>
                </w:p>
              </w:tc>
              <w:tc>
                <w:tcPr>
                  <w:tcW w:w="2338" w:type="dxa"/>
                  <w:vAlign w:val="center"/>
                </w:tcPr>
                <w:p>
                  <w:pPr>
                    <w:adjustRightInd w:val="0"/>
                    <w:snapToGrid w:val="0"/>
                    <w:spacing w:line="288" w:lineRule="auto"/>
                    <w:jc w:val="center"/>
                    <w:rPr>
                      <w:rFonts w:ascii="宋体" w:hAnsi="宋体" w:eastAsia="宋体" w:cs="Times New Roman"/>
                      <w:kern w:val="2"/>
                      <w:sz w:val="21"/>
                      <w:szCs w:val="21"/>
                      <w:lang w:val="en-US" w:eastAsia="zh-CN" w:bidi="ar-SA"/>
                    </w:rPr>
                  </w:pPr>
                  <w:r>
                    <w:rPr>
                      <w:rFonts w:hint="eastAsia" w:ascii="宋体" w:hAnsi="宋体"/>
                      <w:sz w:val="21"/>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eastAsia="宋体" w:cs="Times New Roman"/>
                      <w:kern w:val="2"/>
                      <w:sz w:val="21"/>
                      <w:szCs w:val="21"/>
                      <w:lang w:val="en-US" w:eastAsia="zh-CN" w:bidi="ar-SA"/>
                    </w:rPr>
                  </w:pPr>
                  <w:r>
                    <w:rPr>
                      <w:rFonts w:hint="eastAsia" w:ascii="宋体" w:hAnsi="宋体"/>
                      <w:sz w:val="21"/>
                      <w:szCs w:val="21"/>
                    </w:rPr>
                    <w:t>100-500</w:t>
                  </w:r>
                </w:p>
              </w:tc>
              <w:tc>
                <w:tcPr>
                  <w:tcW w:w="2338" w:type="dxa"/>
                  <w:vAlign w:val="center"/>
                </w:tcPr>
                <w:p>
                  <w:pPr>
                    <w:adjustRightInd w:val="0"/>
                    <w:snapToGrid w:val="0"/>
                    <w:spacing w:line="288" w:lineRule="auto"/>
                    <w:jc w:val="center"/>
                    <w:rPr>
                      <w:rFonts w:hint="default" w:ascii="宋体" w:hAnsi="宋体" w:eastAsia="宋体" w:cs="Times New Roman"/>
                      <w:kern w:val="2"/>
                      <w:sz w:val="21"/>
                      <w:szCs w:val="21"/>
                      <w:lang w:val="en-US" w:eastAsia="zh-CN" w:bidi="ar-SA"/>
                    </w:rPr>
                  </w:pPr>
                  <w:r>
                    <w:rPr>
                      <w:rFonts w:hint="eastAsia" w:ascii="宋体" w:hAnsi="宋体"/>
                      <w:sz w:val="21"/>
                      <w:szCs w:val="21"/>
                    </w:rPr>
                    <w:t>0.</w:t>
                  </w:r>
                  <w:r>
                    <w:rPr>
                      <w:rFonts w:hint="eastAsia" w:ascii="宋体" w:hAnsi="宋体"/>
                      <w:sz w:val="21"/>
                      <w:szCs w:val="21"/>
                      <w:lang w:val="en-US" w:eastAsia="zh-CN"/>
                    </w:rPr>
                    <w:t>56</w:t>
                  </w:r>
                </w:p>
              </w:tc>
            </w:tr>
            <w:bookmarkEnd w:id="40"/>
          </w:tbl>
          <w:p>
            <w:pPr>
              <w:adjustRightInd w:val="0"/>
              <w:snapToGrid w:val="0"/>
              <w:spacing w:line="288"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（五）</w:t>
            </w:r>
          </w:p>
        </w:tc>
        <w:tc>
          <w:tcPr>
            <w:tcW w:w="1607" w:type="dxa"/>
            <w:vAlign w:val="center"/>
          </w:tcPr>
          <w:p>
            <w:pPr>
              <w:adjustRightInd w:val="0"/>
              <w:snapToGrid w:val="0"/>
              <w:spacing w:line="288" w:lineRule="auto"/>
              <w:ind w:right="-104" w:rightChars="-37"/>
              <w:jc w:val="center"/>
              <w:rPr>
                <w:rFonts w:ascii="宋体" w:hAnsi="宋体"/>
                <w:sz w:val="21"/>
                <w:szCs w:val="21"/>
              </w:rPr>
            </w:pPr>
            <w:r>
              <w:rPr>
                <w:rFonts w:hint="eastAsia" w:ascii="宋体" w:hAnsi="宋体"/>
                <w:spacing w:val="-6"/>
                <w:sz w:val="21"/>
                <w:szCs w:val="21"/>
              </w:rPr>
              <w:t>磋商保证金（元）</w:t>
            </w:r>
          </w:p>
        </w:tc>
        <w:tc>
          <w:tcPr>
            <w:tcW w:w="6757"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（六）</w:t>
            </w:r>
          </w:p>
        </w:tc>
        <w:tc>
          <w:tcPr>
            <w:tcW w:w="160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联合体响应</w:t>
            </w:r>
          </w:p>
        </w:tc>
        <w:tc>
          <w:tcPr>
            <w:tcW w:w="6757" w:type="dxa"/>
            <w:vAlign w:val="center"/>
          </w:tcPr>
          <w:p>
            <w:pPr>
              <w:adjustRightInd w:val="0"/>
              <w:snapToGrid w:val="0"/>
              <w:spacing w:line="288" w:lineRule="auto"/>
              <w:rPr>
                <w:rFonts w:ascii="宋体" w:hAnsi="宋体"/>
                <w:sz w:val="21"/>
                <w:szCs w:val="21"/>
              </w:rPr>
            </w:pPr>
            <w:r>
              <w:rPr>
                <w:rFonts w:hint="eastAsia" w:ascii="宋体" w:hAnsi="宋体"/>
                <w:sz w:val="21"/>
                <w:szCs w:val="21"/>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（七）</w:t>
            </w:r>
          </w:p>
        </w:tc>
        <w:tc>
          <w:tcPr>
            <w:tcW w:w="160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转包与分包</w:t>
            </w:r>
          </w:p>
        </w:tc>
        <w:tc>
          <w:tcPr>
            <w:tcW w:w="6757" w:type="dxa"/>
            <w:vAlign w:val="center"/>
          </w:tcPr>
          <w:p>
            <w:pPr>
              <w:adjustRightInd w:val="0"/>
              <w:snapToGrid w:val="0"/>
              <w:spacing w:line="288" w:lineRule="auto"/>
              <w:rPr>
                <w:rFonts w:ascii="宋体" w:hAnsi="宋体"/>
                <w:sz w:val="21"/>
                <w:szCs w:val="21"/>
              </w:rPr>
            </w:pPr>
            <w:bookmarkStart w:id="41" w:name="_Hlk71883886"/>
            <w:r>
              <w:rPr>
                <w:rFonts w:hint="eastAsia" w:ascii="宋体" w:hAnsi="宋体"/>
                <w:sz w:val="21"/>
                <w:szCs w:val="21"/>
              </w:rPr>
              <w:t>1.本项目不允许转包；</w:t>
            </w:r>
          </w:p>
          <w:p>
            <w:pPr>
              <w:adjustRightInd w:val="0"/>
              <w:snapToGrid w:val="0"/>
              <w:spacing w:line="288" w:lineRule="auto"/>
              <w:rPr>
                <w:rFonts w:ascii="宋体" w:hAnsi="宋体"/>
                <w:sz w:val="21"/>
                <w:szCs w:val="21"/>
              </w:rPr>
            </w:pPr>
            <w:r>
              <w:rPr>
                <w:rFonts w:hint="eastAsia" w:ascii="宋体" w:hAnsi="宋体"/>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（八）</w:t>
            </w:r>
          </w:p>
        </w:tc>
        <w:tc>
          <w:tcPr>
            <w:tcW w:w="1607" w:type="dxa"/>
            <w:vAlign w:val="center"/>
          </w:tcPr>
          <w:p>
            <w:pPr>
              <w:adjustRightInd w:val="0"/>
              <w:snapToGrid w:val="0"/>
              <w:spacing w:line="288" w:lineRule="auto"/>
              <w:jc w:val="center"/>
              <w:rPr>
                <w:rFonts w:ascii="宋体" w:hAnsi="宋体"/>
                <w:sz w:val="21"/>
                <w:szCs w:val="21"/>
              </w:rPr>
            </w:pPr>
            <w:r>
              <w:rPr>
                <w:rFonts w:hint="eastAsia" w:ascii="宋体" w:hAnsi="宋体"/>
                <w:b/>
                <w:bCs/>
                <w:sz w:val="21"/>
                <w:szCs w:val="21"/>
              </w:rPr>
              <w:t>信用记录</w:t>
            </w:r>
          </w:p>
        </w:tc>
        <w:tc>
          <w:tcPr>
            <w:tcW w:w="6757" w:type="dxa"/>
            <w:vAlign w:val="center"/>
          </w:tcPr>
          <w:p>
            <w:pPr>
              <w:adjustRightInd w:val="0"/>
              <w:snapToGrid w:val="0"/>
              <w:spacing w:line="288" w:lineRule="auto"/>
              <w:rPr>
                <w:rFonts w:ascii="宋体" w:hAnsi="宋体"/>
                <w:bCs/>
                <w:sz w:val="21"/>
                <w:szCs w:val="21"/>
              </w:rPr>
            </w:pPr>
            <w:bookmarkStart w:id="42" w:name="_Hlk71808489"/>
            <w:r>
              <w:rPr>
                <w:rFonts w:hint="eastAsia" w:ascii="宋体" w:hAnsi="宋体"/>
                <w:bCs/>
                <w:sz w:val="21"/>
                <w:szCs w:val="21"/>
              </w:rPr>
              <w:t>根据财库[2016]125号《关于在政府采购活动中查询及使用信用记录有关问题的通知》要求，采购代理机构会对供应商信用记录进行查询并甄别。信用</w:t>
            </w:r>
            <w:r>
              <w:rPr>
                <w:rFonts w:hint="eastAsia" w:ascii="宋体" w:hAnsi="宋体"/>
                <w:sz w:val="21"/>
                <w:szCs w:val="21"/>
              </w:rPr>
              <w:t>信息查询的截止时点：响应截止时间；</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）信用信息的使用规则：供应商被列入失信被执行人、重大税收违法案件当事人名单、政府采购严重违法失信行为记录名单的，拒绝其参与采购活动。</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（九）</w:t>
            </w:r>
          </w:p>
        </w:tc>
        <w:tc>
          <w:tcPr>
            <w:tcW w:w="160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资格审查要求的资格证明材料</w:t>
            </w:r>
          </w:p>
        </w:tc>
        <w:tc>
          <w:tcPr>
            <w:tcW w:w="6757" w:type="dxa"/>
            <w:vAlign w:val="center"/>
          </w:tcPr>
          <w:p>
            <w:pPr>
              <w:adjustRightInd w:val="0"/>
              <w:snapToGrid w:val="0"/>
              <w:spacing w:line="288" w:lineRule="auto"/>
              <w:rPr>
                <w:rFonts w:ascii="宋体" w:hAnsi="宋体"/>
                <w:b/>
                <w:bCs/>
                <w:sz w:val="21"/>
                <w:szCs w:val="21"/>
              </w:rPr>
            </w:pPr>
            <w:r>
              <w:rPr>
                <w:rFonts w:hint="eastAsia" w:ascii="宋体" w:hAnsi="宋体"/>
                <w:b/>
                <w:bCs/>
                <w:sz w:val="21"/>
                <w:szCs w:val="21"/>
              </w:rPr>
              <w:t>资格审查要求的资格证明材料(均需加盖公章)：</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1）有效的法人或者其他组织的营业执照等证明文件，自然人的身份证明</w:t>
            </w:r>
          </w:p>
          <w:p>
            <w:pPr>
              <w:adjustRightInd w:val="0"/>
              <w:snapToGrid w:val="0"/>
              <w:spacing w:line="288" w:lineRule="auto"/>
              <w:rPr>
                <w:rFonts w:hint="eastAsia" w:ascii="宋体" w:hAnsi="宋体"/>
                <w:sz w:val="21"/>
                <w:szCs w:val="21"/>
                <w:lang w:eastAsia="zh-CN"/>
              </w:rPr>
            </w:pPr>
            <w:r>
              <w:rPr>
                <w:rFonts w:hint="eastAsia" w:ascii="宋体" w:hAnsi="宋体"/>
                <w:sz w:val="21"/>
                <w:szCs w:val="21"/>
              </w:rPr>
              <w:t>（</w:t>
            </w:r>
            <w:r>
              <w:rPr>
                <w:rFonts w:ascii="宋体" w:hAnsi="宋体"/>
                <w:sz w:val="21"/>
                <w:szCs w:val="21"/>
              </w:rPr>
              <w:t>2）</w:t>
            </w:r>
            <w:r>
              <w:rPr>
                <w:rFonts w:hint="eastAsia" w:ascii="宋体" w:hAnsi="宋体"/>
                <w:sz w:val="21"/>
                <w:szCs w:val="21"/>
              </w:rPr>
              <w:t>符合参加政府采购活动应当具备的一般条件的承诺函</w:t>
            </w:r>
            <w:r>
              <w:rPr>
                <w:rFonts w:hint="eastAsia" w:ascii="宋体" w:hAnsi="宋体"/>
                <w:sz w:val="21"/>
                <w:szCs w:val="21"/>
                <w:lang w:eastAsia="zh-CN"/>
              </w:rPr>
              <w:t>；</w:t>
            </w:r>
          </w:p>
          <w:p>
            <w:pPr>
              <w:adjustRightInd w:val="0"/>
              <w:snapToGrid w:val="0"/>
              <w:spacing w:line="288" w:lineRule="auto"/>
              <w:rPr>
                <w:rFonts w:hint="eastAsia" w:ascii="宋体" w:hAnsi="宋体"/>
                <w:sz w:val="21"/>
                <w:szCs w:val="21"/>
                <w:lang w:eastAsia="zh-CN"/>
              </w:rPr>
            </w:pPr>
            <w:r>
              <w:rPr>
                <w:rFonts w:hint="eastAsia" w:ascii="宋体" w:hAnsi="宋体"/>
                <w:sz w:val="21"/>
                <w:szCs w:val="21"/>
                <w:lang w:eastAsia="zh-CN"/>
              </w:rPr>
              <w:t>（3）落实政府采购政策需满足的资格要求：</w:t>
            </w:r>
          </w:p>
          <w:p>
            <w:pPr>
              <w:adjustRightInd w:val="0"/>
              <w:snapToGrid w:val="0"/>
              <w:spacing w:line="288" w:lineRule="auto"/>
              <w:rPr>
                <w:rFonts w:hint="eastAsia" w:ascii="宋体" w:hAnsi="宋体"/>
                <w:sz w:val="21"/>
                <w:szCs w:val="21"/>
                <w:lang w:eastAsia="zh-CN"/>
              </w:rPr>
            </w:pPr>
            <w:r>
              <w:rPr>
                <w:rFonts w:hint="eastAsia" w:ascii="宋体" w:hAnsi="宋体"/>
                <w:sz w:val="21"/>
                <w:szCs w:val="21"/>
                <w:lang w:eastAsia="zh-CN"/>
              </w:rPr>
              <w:t>中小企业声明函（若属于中小企业）</w:t>
            </w:r>
          </w:p>
          <w:p>
            <w:pPr>
              <w:adjustRightInd w:val="0"/>
              <w:snapToGrid w:val="0"/>
              <w:spacing w:line="288" w:lineRule="auto"/>
              <w:rPr>
                <w:rFonts w:hint="eastAsia" w:ascii="宋体" w:hAnsi="宋体"/>
                <w:sz w:val="21"/>
                <w:szCs w:val="21"/>
                <w:lang w:eastAsia="zh-CN"/>
              </w:rPr>
            </w:pPr>
            <w:r>
              <w:rPr>
                <w:rFonts w:hint="eastAsia" w:ascii="宋体" w:hAnsi="宋体"/>
                <w:sz w:val="21"/>
                <w:szCs w:val="21"/>
                <w:lang w:eastAsia="zh-CN"/>
              </w:rPr>
              <w:t>属于监狱企业的证明文件（若属于监狱企业）</w:t>
            </w:r>
          </w:p>
          <w:p>
            <w:pPr>
              <w:adjustRightInd w:val="0"/>
              <w:snapToGrid w:val="0"/>
              <w:spacing w:line="288" w:lineRule="auto"/>
              <w:rPr>
                <w:rFonts w:hint="eastAsia" w:ascii="宋体" w:hAnsi="宋体"/>
                <w:sz w:val="21"/>
                <w:szCs w:val="21"/>
                <w:lang w:eastAsia="zh-CN"/>
              </w:rPr>
            </w:pPr>
            <w:r>
              <w:rPr>
                <w:rFonts w:hint="eastAsia" w:ascii="宋体" w:hAnsi="宋体"/>
                <w:sz w:val="21"/>
                <w:szCs w:val="21"/>
                <w:lang w:eastAsia="zh-CN"/>
              </w:rPr>
              <w:t>残疾人福利性单位声明函（若属于残疾人福利性单位）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w:t>
            </w:r>
          </w:p>
        </w:tc>
        <w:tc>
          <w:tcPr>
            <w:tcW w:w="1607" w:type="dxa"/>
            <w:vAlign w:val="center"/>
          </w:tcPr>
          <w:p>
            <w:pPr>
              <w:adjustRightInd w:val="0"/>
              <w:snapToGrid w:val="0"/>
              <w:spacing w:line="288" w:lineRule="auto"/>
              <w:jc w:val="center"/>
              <w:rPr>
                <w:rFonts w:ascii="宋体" w:hAnsi="宋体"/>
                <w:sz w:val="21"/>
                <w:szCs w:val="21"/>
              </w:rPr>
            </w:pPr>
            <w:r>
              <w:rPr>
                <w:rFonts w:hint="eastAsia" w:ascii="宋体" w:hAnsi="宋体"/>
                <w:b/>
                <w:bCs/>
                <w:sz w:val="21"/>
                <w:szCs w:val="21"/>
              </w:rPr>
              <w:t>响应文件份数</w:t>
            </w:r>
          </w:p>
        </w:tc>
        <w:tc>
          <w:tcPr>
            <w:tcW w:w="6757" w:type="dxa"/>
            <w:vAlign w:val="center"/>
          </w:tcPr>
          <w:p>
            <w:pPr>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合并装订成册，其中正本一份、副本三份，响应文件的封面应注明“正本“、“副本”字样。</w:t>
            </w:r>
          </w:p>
          <w:p>
            <w:pPr>
              <w:adjustRightInd w:val="0"/>
              <w:snapToGrid w:val="0"/>
              <w:spacing w:line="288" w:lineRule="auto"/>
              <w:ind w:firstLine="398" w:firstLineChars="200"/>
              <w:jc w:val="left"/>
              <w:rPr>
                <w:rFonts w:ascii="宋体" w:hAnsi="宋体"/>
                <w:bCs/>
                <w:spacing w:val="-6"/>
                <w:sz w:val="21"/>
                <w:szCs w:val="21"/>
              </w:rPr>
            </w:pPr>
            <w:r>
              <w:rPr>
                <w:rFonts w:hint="eastAsia" w:ascii="宋体" w:hAnsi="宋体"/>
                <w:b/>
                <w:spacing w:val="-6"/>
                <w:sz w:val="21"/>
                <w:szCs w:val="21"/>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（十一）</w:t>
            </w:r>
          </w:p>
        </w:tc>
        <w:tc>
          <w:tcPr>
            <w:tcW w:w="1607" w:type="dxa"/>
            <w:vAlign w:val="center"/>
          </w:tcPr>
          <w:p>
            <w:pPr>
              <w:adjustRightInd w:val="0"/>
              <w:snapToGrid w:val="0"/>
              <w:spacing w:line="288" w:lineRule="auto"/>
              <w:jc w:val="center"/>
              <w:rPr>
                <w:rFonts w:ascii="宋体" w:hAnsi="宋体"/>
                <w:sz w:val="21"/>
                <w:szCs w:val="21"/>
              </w:rPr>
            </w:pPr>
            <w:r>
              <w:rPr>
                <w:rFonts w:hint="eastAsia" w:ascii="宋体" w:hAnsi="宋体"/>
                <w:b/>
                <w:bCs/>
                <w:sz w:val="21"/>
                <w:szCs w:val="21"/>
              </w:rPr>
              <w:t>磋商报价</w:t>
            </w:r>
          </w:p>
        </w:tc>
        <w:tc>
          <w:tcPr>
            <w:tcW w:w="6757" w:type="dxa"/>
            <w:vAlign w:val="center"/>
          </w:tcPr>
          <w:p>
            <w:pPr>
              <w:adjustRightInd w:val="0"/>
              <w:snapToGrid w:val="0"/>
              <w:spacing w:line="288" w:lineRule="auto"/>
              <w:rPr>
                <w:rFonts w:ascii="宋体" w:hAnsi="宋体"/>
                <w:sz w:val="21"/>
                <w:szCs w:val="21"/>
              </w:rPr>
            </w:pPr>
            <w:bookmarkStart w:id="43" w:name="_Hlk71884277"/>
            <w:r>
              <w:rPr>
                <w:rFonts w:hint="eastAsia" w:ascii="宋体" w:hAnsi="宋体"/>
                <w:sz w:val="21"/>
                <w:szCs w:val="21"/>
              </w:rPr>
              <w:t>1</w:t>
            </w:r>
            <w:r>
              <w:rPr>
                <w:rFonts w:ascii="宋体" w:hAnsi="宋体"/>
                <w:sz w:val="21"/>
                <w:szCs w:val="21"/>
              </w:rPr>
              <w:t>.</w:t>
            </w:r>
            <w:r>
              <w:rPr>
                <w:rFonts w:hint="eastAsia" w:ascii="宋体" w:hAnsi="宋体"/>
                <w:sz w:val="21"/>
                <w:szCs w:val="21"/>
              </w:rPr>
              <w:t>报价应按磋商文件要求的格式编制、填写报价内容（可自行增行），未按磋商文件要求编制、填写的响应文件可能被拒绝；</w:t>
            </w:r>
          </w:p>
          <w:p>
            <w:pPr>
              <w:adjustRightInd w:val="0"/>
              <w:snapToGrid w:val="0"/>
              <w:spacing w:line="288" w:lineRule="auto"/>
              <w:rPr>
                <w:rFonts w:ascii="宋体" w:hAnsi="宋体"/>
                <w:b/>
                <w:bCs/>
                <w:sz w:val="21"/>
                <w:szCs w:val="21"/>
              </w:rPr>
            </w:pPr>
            <w:r>
              <w:rPr>
                <w:rFonts w:hint="eastAsia" w:ascii="宋体" w:hAnsi="宋体"/>
                <w:sz w:val="21"/>
                <w:szCs w:val="21"/>
              </w:rPr>
              <w:t>2.以人民币报价；</w:t>
            </w:r>
          </w:p>
          <w:p>
            <w:pPr>
              <w:adjustRightInd w:val="0"/>
              <w:snapToGrid w:val="0"/>
              <w:spacing w:line="288" w:lineRule="auto"/>
              <w:rPr>
                <w:rFonts w:ascii="宋体" w:hAnsi="宋体"/>
                <w:sz w:val="21"/>
                <w:szCs w:val="21"/>
              </w:rPr>
            </w:pPr>
            <w:r>
              <w:rPr>
                <w:rFonts w:ascii="宋体" w:hAnsi="宋体"/>
                <w:sz w:val="21"/>
                <w:szCs w:val="21"/>
              </w:rPr>
              <w:t>3</w:t>
            </w:r>
            <w:r>
              <w:rPr>
                <w:rFonts w:hint="eastAsia" w:ascii="宋体" w:hAnsi="宋体"/>
                <w:sz w:val="21"/>
                <w:szCs w:val="21"/>
              </w:rPr>
              <w:t>.最后磋商报价是履行合同的最终价格，有关本项目实施所涉及的一切费用均计入报价。</w:t>
            </w:r>
            <w:bookmarkEnd w:id="43"/>
          </w:p>
          <w:p>
            <w:pPr>
              <w:adjustRightInd w:val="0"/>
              <w:snapToGrid w:val="0"/>
              <w:spacing w:line="288" w:lineRule="auto"/>
              <w:rPr>
                <w:rFonts w:ascii="宋体" w:hAnsi="宋体"/>
                <w:sz w:val="21"/>
                <w:szCs w:val="21"/>
              </w:rPr>
            </w:pP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（十二）</w:t>
            </w:r>
          </w:p>
        </w:tc>
        <w:tc>
          <w:tcPr>
            <w:tcW w:w="1607" w:type="dxa"/>
            <w:vAlign w:val="center"/>
          </w:tcPr>
          <w:p>
            <w:pPr>
              <w:adjustRightInd w:val="0"/>
              <w:snapToGrid w:val="0"/>
              <w:spacing w:line="288" w:lineRule="auto"/>
              <w:jc w:val="center"/>
              <w:rPr>
                <w:rFonts w:ascii="宋体" w:hAnsi="宋体"/>
                <w:sz w:val="21"/>
                <w:szCs w:val="21"/>
              </w:rPr>
            </w:pPr>
            <w:r>
              <w:rPr>
                <w:rFonts w:hint="eastAsia" w:ascii="宋体" w:hAnsi="宋体"/>
                <w:b/>
                <w:bCs/>
                <w:sz w:val="21"/>
                <w:szCs w:val="21"/>
              </w:rPr>
              <w:t>响应有效期</w:t>
            </w:r>
          </w:p>
        </w:tc>
        <w:tc>
          <w:tcPr>
            <w:tcW w:w="6757" w:type="dxa"/>
            <w:vAlign w:val="center"/>
          </w:tcPr>
          <w:p>
            <w:pPr>
              <w:adjustRightInd w:val="0"/>
              <w:snapToGrid w:val="0"/>
              <w:spacing w:line="288" w:lineRule="auto"/>
              <w:rPr>
                <w:rFonts w:ascii="宋体" w:hAnsi="宋体"/>
                <w:sz w:val="21"/>
                <w:szCs w:val="21"/>
              </w:rPr>
            </w:pPr>
            <w:r>
              <w:rPr>
                <w:rFonts w:hint="eastAsia" w:ascii="宋体" w:hAnsi="宋体"/>
                <w:sz w:val="21"/>
                <w:szCs w:val="21"/>
              </w:rPr>
              <w:t>▲</w:t>
            </w:r>
            <w:bookmarkStart w:id="44" w:name="_Hlk71884303"/>
            <w:r>
              <w:rPr>
                <w:rFonts w:hint="eastAsia" w:ascii="宋体" w:hAnsi="宋体"/>
                <w:sz w:val="21"/>
                <w:szCs w:val="21"/>
              </w:rPr>
              <w:t>从提交响应文件的截止之日起90天。在原响应有效期满之前，如果出现特殊情况，采购人或采购代理机构以书面形式通知供应商延长响应有效期。</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（十三）</w:t>
            </w:r>
          </w:p>
        </w:tc>
        <w:tc>
          <w:tcPr>
            <w:tcW w:w="160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评审方法及评审标准</w:t>
            </w:r>
          </w:p>
        </w:tc>
        <w:tc>
          <w:tcPr>
            <w:tcW w:w="6757" w:type="dxa"/>
            <w:vAlign w:val="center"/>
          </w:tcPr>
          <w:p>
            <w:pPr>
              <w:adjustRightInd w:val="0"/>
              <w:snapToGrid w:val="0"/>
              <w:spacing w:line="288" w:lineRule="auto"/>
              <w:rPr>
                <w:rFonts w:ascii="宋体" w:hAnsi="宋体"/>
                <w:sz w:val="21"/>
                <w:szCs w:val="21"/>
              </w:rPr>
            </w:pPr>
            <w:r>
              <w:rPr>
                <w:rFonts w:ascii="宋体" w:hAnsi="宋体"/>
                <w:sz w:val="21"/>
                <w:szCs w:val="21"/>
              </w:rPr>
              <w:t>详见“</w:t>
            </w:r>
            <w:r>
              <w:rPr>
                <w:rFonts w:hint="eastAsia" w:ascii="宋体" w:hAnsi="宋体"/>
                <w:sz w:val="21"/>
                <w:szCs w:val="21"/>
              </w:rPr>
              <w:t>第四章  评审方法及评审标准</w:t>
            </w:r>
            <w:r>
              <w:rPr>
                <w:rFonts w:ascii="宋体" w:hAnsi="宋体"/>
                <w:sz w:val="21"/>
                <w:szCs w:val="21"/>
              </w:rPr>
              <w:t>”</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ascii="宋体" w:hAnsi="宋体"/>
                <w:sz w:val="21"/>
                <w:szCs w:val="21"/>
              </w:rPr>
              <w:t>（</w:t>
            </w:r>
            <w:r>
              <w:rPr>
                <w:rFonts w:hint="eastAsia" w:ascii="宋体" w:hAnsi="宋体"/>
                <w:sz w:val="21"/>
                <w:szCs w:val="21"/>
              </w:rPr>
              <w:t>十四</w:t>
            </w:r>
            <w:r>
              <w:rPr>
                <w:rFonts w:ascii="宋体" w:hAnsi="宋体"/>
                <w:sz w:val="21"/>
                <w:szCs w:val="21"/>
              </w:rPr>
              <w:t>）</w:t>
            </w:r>
          </w:p>
        </w:tc>
        <w:tc>
          <w:tcPr>
            <w:tcW w:w="160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评审结果公示</w:t>
            </w:r>
          </w:p>
        </w:tc>
        <w:tc>
          <w:tcPr>
            <w:tcW w:w="6757" w:type="dxa"/>
            <w:vAlign w:val="center"/>
          </w:tcPr>
          <w:p>
            <w:pPr>
              <w:adjustRightInd w:val="0"/>
              <w:snapToGrid w:val="0"/>
              <w:spacing w:line="288" w:lineRule="auto"/>
              <w:rPr>
                <w:rFonts w:ascii="宋体" w:hAnsi="宋体"/>
                <w:sz w:val="21"/>
                <w:szCs w:val="21"/>
              </w:rPr>
            </w:pPr>
            <w:r>
              <w:rPr>
                <w:rFonts w:hint="eastAsia" w:ascii="宋体" w:hAnsi="宋体"/>
                <w:sz w:val="21"/>
                <w:szCs w:val="21"/>
              </w:rPr>
              <w:t>评审结果公示媒体：中国政府采购网（http://www.ccgp.gov.cn）、浙江大学采购网（http://www.zupc.zju.edu.cn/cms/e?page=cms.index）。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（十五）</w:t>
            </w:r>
          </w:p>
        </w:tc>
        <w:tc>
          <w:tcPr>
            <w:tcW w:w="160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签订合同</w:t>
            </w:r>
          </w:p>
        </w:tc>
        <w:tc>
          <w:tcPr>
            <w:tcW w:w="6757" w:type="dxa"/>
            <w:vAlign w:val="center"/>
          </w:tcPr>
          <w:p>
            <w:pPr>
              <w:adjustRightInd w:val="0"/>
              <w:snapToGrid w:val="0"/>
              <w:spacing w:line="288" w:lineRule="auto"/>
              <w:rPr>
                <w:rFonts w:ascii="宋体" w:hAnsi="宋体"/>
                <w:sz w:val="21"/>
                <w:szCs w:val="21"/>
              </w:rPr>
            </w:pPr>
            <w:r>
              <w:rPr>
                <w:rFonts w:hint="eastAsia" w:ascii="宋体" w:hAnsi="宋体"/>
                <w:sz w:val="21"/>
                <w:szCs w:val="21"/>
              </w:rPr>
              <w:t>成交通知书发出之日起30日内。</w:t>
            </w:r>
          </w:p>
        </w:tc>
      </w:tr>
    </w:tbl>
    <w:p>
      <w:pPr>
        <w:pStyle w:val="12"/>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总则</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供应商应仔细阅读磋商文件的所有内容，按照磋商文件的要求提交响应文件，并对所提供的全部资料的真实性承担法律责任。</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本磋商文件适用于浙江大学IDC机房机柜托管的磋商、评审、成交、验收、合同履约、付款等（法律、法规另有规定的，从其规定）。</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（二）定义</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1.“采购人”系指浙江大学；</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采购代理机构”系指组织本次竞争性磋商的浙江求是招标代理有限公司；</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3．“供应商”系指响应磋商、参加竞争的法人、其他组织或者自然人；</w:t>
      </w:r>
    </w:p>
    <w:p>
      <w:pPr>
        <w:adjustRightInd w:val="0"/>
        <w:snapToGrid w:val="0"/>
        <w:spacing w:line="288" w:lineRule="auto"/>
        <w:ind w:firstLine="420" w:firstLineChars="200"/>
        <w:rPr>
          <w:rFonts w:ascii="宋体" w:hAnsi="宋体"/>
          <w:spacing w:val="-6"/>
          <w:sz w:val="21"/>
          <w:szCs w:val="21"/>
        </w:rPr>
      </w:pPr>
      <w:r>
        <w:rPr>
          <w:rFonts w:hint="eastAsia" w:ascii="宋体" w:hAnsi="宋体"/>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5．“▲”系指实质性要求条款，供应商必须做出实质性响应。</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（三）采购方式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本次采购采用竞争性磋商方式进行。</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（四）竞争性磋商委托</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.供应商授权代表必须为供应商本单位在职职工，并提供2021年12月（含）以后任意一月社保缴纳证明（授权代表为法定代表人可不提供）。</w:t>
      </w:r>
    </w:p>
    <w:p>
      <w:pPr>
        <w:adjustRightInd w:val="0"/>
        <w:snapToGrid w:val="0"/>
        <w:spacing w:line="288" w:lineRule="auto"/>
        <w:ind w:firstLine="420" w:firstLineChars="200"/>
        <w:rPr>
          <w:rFonts w:ascii="宋体" w:hAnsi="宋体" w:cs="宋体"/>
          <w:sz w:val="21"/>
          <w:szCs w:val="21"/>
        </w:rPr>
      </w:pPr>
      <w:r>
        <w:rPr>
          <w:rFonts w:ascii="宋体" w:hAnsi="宋体" w:cs="宋体"/>
          <w:sz w:val="21"/>
          <w:szCs w:val="21"/>
        </w:rPr>
        <w:t>2</w:t>
      </w:r>
      <w:r>
        <w:rPr>
          <w:rFonts w:hint="eastAsia" w:ascii="宋体" w:hAnsi="宋体" w:cs="宋体"/>
          <w:sz w:val="21"/>
          <w:szCs w:val="21"/>
        </w:rPr>
        <w:t>.如供应商代表不是法定代表人，须提供法定代表人授权委托书（格式详见磋商文件第六章）。</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（五）磋商费用</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1.不论磋商结果如何，供应商均应自行承担所有与磋商有关的全部费用；</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2.成交供应商在成交通知书发出之日起七个工作日内，向采购代理机构交纳代理服务费；</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成交金额（万元）</w:t>
            </w:r>
          </w:p>
        </w:tc>
        <w:tc>
          <w:tcPr>
            <w:tcW w:w="2338"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100以下</w:t>
            </w:r>
          </w:p>
        </w:tc>
        <w:tc>
          <w:tcPr>
            <w:tcW w:w="2338"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100-500</w:t>
            </w:r>
          </w:p>
        </w:tc>
        <w:tc>
          <w:tcPr>
            <w:tcW w:w="2338" w:type="dxa"/>
            <w:vAlign w:val="center"/>
          </w:tcPr>
          <w:p>
            <w:pPr>
              <w:adjustRightInd w:val="0"/>
              <w:snapToGrid w:val="0"/>
              <w:spacing w:line="288" w:lineRule="auto"/>
              <w:jc w:val="center"/>
              <w:rPr>
                <w:rFonts w:hint="default" w:ascii="宋体" w:hAnsi="宋体" w:eastAsia="宋体"/>
                <w:sz w:val="21"/>
                <w:szCs w:val="21"/>
                <w:lang w:val="en-US" w:eastAsia="zh-CN"/>
              </w:rPr>
            </w:pPr>
            <w:r>
              <w:rPr>
                <w:rFonts w:hint="eastAsia" w:ascii="宋体" w:hAnsi="宋体"/>
                <w:sz w:val="21"/>
                <w:szCs w:val="21"/>
              </w:rPr>
              <w:t>0.</w:t>
            </w:r>
            <w:r>
              <w:rPr>
                <w:rFonts w:hint="eastAsia" w:ascii="宋体" w:hAnsi="宋体"/>
                <w:sz w:val="21"/>
                <w:szCs w:val="21"/>
                <w:lang w:val="en-US" w:eastAsia="zh-CN"/>
              </w:rPr>
              <w:t>56</w:t>
            </w:r>
          </w:p>
        </w:tc>
      </w:tr>
    </w:tbl>
    <w:p>
      <w:pPr>
        <w:adjustRightInd w:val="0"/>
        <w:snapToGrid w:val="0"/>
        <w:spacing w:line="288" w:lineRule="auto"/>
        <w:ind w:firstLine="420" w:firstLineChars="200"/>
        <w:rPr>
          <w:rFonts w:ascii="宋体" w:hAnsi="宋体"/>
          <w:b/>
          <w:spacing w:val="-6"/>
          <w:sz w:val="21"/>
          <w:szCs w:val="21"/>
        </w:rPr>
      </w:pPr>
      <w:r>
        <w:rPr>
          <w:rFonts w:hint="eastAsia" w:ascii="宋体" w:hAnsi="宋体"/>
          <w:sz w:val="21"/>
          <w:szCs w:val="21"/>
        </w:rPr>
        <w:t>5.磋商保证金（元）：无</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（六）联合体响应</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本项目不接受联合体响应。</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（七）转包与分包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1.本项目不允许转包；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rFonts w:ascii="宋体" w:hAnsi="宋体" w:cs="宋体"/>
          <w:b/>
          <w:bCs/>
          <w:sz w:val="21"/>
          <w:szCs w:val="21"/>
        </w:rPr>
      </w:pPr>
      <w:r>
        <w:rPr>
          <w:rFonts w:hint="eastAsia" w:ascii="宋体" w:hAnsi="宋体" w:cs="宋体"/>
          <w:b/>
          <w:bCs/>
          <w:sz w:val="21"/>
          <w:szCs w:val="21"/>
        </w:rPr>
        <w:t>（八）质疑和投诉</w:t>
      </w:r>
    </w:p>
    <w:p>
      <w:pPr>
        <w:adjustRightInd w:val="0"/>
        <w:snapToGrid w:val="0"/>
        <w:spacing w:line="288" w:lineRule="auto"/>
        <w:ind w:firstLine="396" w:firstLineChars="200"/>
        <w:jc w:val="left"/>
        <w:rPr>
          <w:rFonts w:ascii="宋体" w:hAnsi="宋体"/>
          <w:spacing w:val="-6"/>
          <w:sz w:val="21"/>
          <w:szCs w:val="21"/>
        </w:rPr>
      </w:pPr>
      <w:bookmarkStart w:id="45" w:name="_Hlk92273406"/>
      <w:bookmarkStart w:id="46" w:name="_Hlk71884065"/>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r>
        <w:rPr>
          <w:rFonts w:hint="eastAsia" w:ascii="宋体" w:hAnsi="宋体"/>
          <w:spacing w:val="-6"/>
          <w:sz w:val="21"/>
          <w:szCs w:val="21"/>
        </w:rPr>
        <w:t>质疑供应商对采购人、采购代理机构的答复不满意，或者采购人、采购代理机构未在规定时间内作出答复的，可以在答复期满后</w:t>
      </w:r>
      <w:r>
        <w:rPr>
          <w:rFonts w:ascii="宋体" w:hAnsi="宋体"/>
          <w:spacing w:val="-6"/>
          <w:sz w:val="21"/>
          <w:szCs w:val="21"/>
        </w:rPr>
        <w:t>15个工作日内向</w:t>
      </w:r>
      <w:r>
        <w:rPr>
          <w:rFonts w:hint="eastAsia" w:ascii="宋体" w:hAnsi="宋体"/>
          <w:spacing w:val="-6"/>
          <w:sz w:val="21"/>
          <w:szCs w:val="21"/>
        </w:rPr>
        <w:t>本级财政部门</w:t>
      </w:r>
      <w:r>
        <w:rPr>
          <w:rFonts w:ascii="宋体" w:hAnsi="宋体"/>
          <w:spacing w:val="-6"/>
          <w:sz w:val="21"/>
          <w:szCs w:val="21"/>
        </w:rPr>
        <w:t>提起投诉。</w:t>
      </w:r>
      <w:bookmarkEnd w:id="45"/>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2.供应商提出质疑应当提交质疑函和必要的证明材料，质疑函范本、投诉书范本请到浙江政府采购网下载专区</w:t>
      </w:r>
      <w:r>
        <w:rPr>
          <w:rFonts w:ascii="宋体" w:hAnsi="宋体" w:cs="宋体"/>
          <w:b/>
          <w:bCs/>
          <w:sz w:val="21"/>
          <w:szCs w:val="21"/>
        </w:rPr>
        <w:t>下载。</w:t>
      </w:r>
      <w:r>
        <w:rPr>
          <w:rFonts w:hint="eastAsia" w:ascii="宋体" w:hAnsi="宋体" w:cs="宋体"/>
          <w:b/>
          <w:bCs/>
          <w:sz w:val="21"/>
          <w:szCs w:val="21"/>
        </w:rPr>
        <w:t>质疑函应当包括下列内容：</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（1）供应商的姓名或者名称、地址、邮编、联系人及联系电话；</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（2）质疑项目的名称、编号；</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（3）具体、明确的质疑事项和与质疑事项相关的请求；</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（4）事实依据；</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（5）必要的法律依据；</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（6）提出质疑的日期。</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rFonts w:ascii="宋体" w:hAnsi="宋体" w:cs="宋体"/>
          <w:b/>
          <w:bCs/>
          <w:sz w:val="21"/>
          <w:szCs w:val="21"/>
        </w:rPr>
      </w:pPr>
      <w:r>
        <w:rPr>
          <w:rFonts w:hint="eastAsia" w:ascii="宋体" w:hAnsi="宋体" w:cs="宋体"/>
          <w:sz w:val="21"/>
          <w:szCs w:val="21"/>
        </w:rPr>
        <w:t>3.提出质疑的供应商应当是参与本项目磋商响应活动的供应商。</w:t>
      </w:r>
      <w:r>
        <w:rPr>
          <w:rFonts w:hint="eastAsia" w:ascii="宋体" w:hAnsi="宋体" w:cs="宋体"/>
          <w:b/>
          <w:bCs/>
          <w:sz w:val="21"/>
          <w:szCs w:val="21"/>
        </w:rPr>
        <w:t>供应商在法定质疑期内应一次性提出针对同一采购程序环节的质疑。</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（1）捏造事实；</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（2）提供虚假材料；</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（3）以非法手段取得证明材料。证据来源的合法性存在明显疑问，投诉人无法证明其取得方式合法的，视为以非法手段取得证明材料。</w:t>
      </w:r>
    </w:p>
    <w:bookmarkEnd w:id="46"/>
    <w:p>
      <w:pPr>
        <w:adjustRightInd w:val="0"/>
        <w:snapToGrid w:val="0"/>
        <w:spacing w:line="288" w:lineRule="auto"/>
        <w:outlineLvl w:val="2"/>
        <w:rPr>
          <w:rFonts w:ascii="宋体" w:hAnsi="宋体" w:cs="宋体"/>
          <w:b/>
          <w:spacing w:val="-6"/>
          <w:kern w:val="0"/>
          <w:sz w:val="21"/>
          <w:szCs w:val="21"/>
        </w:rPr>
      </w:pPr>
      <w:bookmarkStart w:id="47" w:name="_Hlk92273111"/>
      <w:r>
        <w:rPr>
          <w:rFonts w:ascii="宋体" w:hAnsi="宋体" w:cs="宋体"/>
          <w:b/>
          <w:spacing w:val="-6"/>
          <w:kern w:val="0"/>
          <w:sz w:val="21"/>
          <w:szCs w:val="21"/>
        </w:rPr>
        <w:t>（</w:t>
      </w:r>
      <w:r>
        <w:rPr>
          <w:rFonts w:hint="eastAsia" w:ascii="宋体" w:hAnsi="宋体" w:cs="宋体"/>
          <w:b/>
          <w:spacing w:val="-6"/>
          <w:kern w:val="0"/>
          <w:sz w:val="21"/>
          <w:szCs w:val="21"/>
        </w:rPr>
        <w:t>九</w:t>
      </w:r>
      <w:r>
        <w:rPr>
          <w:rFonts w:ascii="宋体" w:hAnsi="宋体" w:cs="宋体"/>
          <w:b/>
          <w:spacing w:val="-6"/>
          <w:kern w:val="0"/>
          <w:sz w:val="21"/>
          <w:szCs w:val="21"/>
        </w:rPr>
        <w:t>）</w:t>
      </w:r>
      <w:r>
        <w:rPr>
          <w:rFonts w:hint="eastAsia" w:ascii="宋体" w:hAnsi="宋体" w:cs="宋体"/>
          <w:b/>
          <w:spacing w:val="-6"/>
          <w:kern w:val="0"/>
          <w:sz w:val="21"/>
          <w:szCs w:val="21"/>
        </w:rPr>
        <w:t>采购项目需要落实的政府采购政策</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.本项目原则上采购服务</w:t>
      </w:r>
      <w:r>
        <w:rPr>
          <w:rFonts w:hint="eastAsia" w:ascii="宋体" w:hAnsi="宋体"/>
          <w:spacing w:val="-6"/>
          <w:sz w:val="21"/>
          <w:szCs w:val="21"/>
        </w:rPr>
        <w:t>。</w:t>
      </w:r>
    </w:p>
    <w:p>
      <w:pPr>
        <w:adjustRightInd w:val="0"/>
        <w:snapToGrid w:val="0"/>
        <w:spacing w:line="288" w:lineRule="auto"/>
        <w:ind w:firstLine="398" w:firstLineChars="200"/>
        <w:jc w:val="left"/>
        <w:rPr>
          <w:rFonts w:ascii="宋体" w:hAnsi="宋体"/>
          <w:b/>
          <w:bCs/>
          <w:spacing w:val="-6"/>
          <w:sz w:val="21"/>
          <w:szCs w:val="21"/>
        </w:rPr>
      </w:pPr>
      <w:r>
        <w:rPr>
          <w:rFonts w:ascii="宋体" w:hAnsi="宋体"/>
          <w:b/>
          <w:bCs/>
          <w:spacing w:val="-6"/>
          <w:sz w:val="21"/>
          <w:szCs w:val="21"/>
        </w:rPr>
        <w:t>2.支持绿色发展</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.支持中小企业发展</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在政府采购活动中，供应商提供的货物、工程或者服务符合下列情形的，享受中小企业扶持政策：</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中小企业享受扶持政策获得政府采购合同的，小微企业不得将合同分包给大中型企业，中型企业不得将合同分包给大型企业。</w:t>
      </w:r>
      <w:bookmarkEnd w:id="47"/>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除财库</w:t>
      </w:r>
      <w:r>
        <w:rPr>
          <w:rFonts w:ascii="宋体" w:hAnsi="宋体"/>
          <w:spacing w:val="-6"/>
          <w:sz w:val="21"/>
          <w:szCs w:val="21"/>
        </w:rPr>
        <w:t>《政府采购促进中小企业发展管理办法》</w:t>
      </w:r>
      <w:r>
        <w:rPr>
          <w:rFonts w:hint="eastAsia" w:ascii="宋体" w:hAnsi="宋体"/>
          <w:spacing w:val="-6"/>
          <w:sz w:val="21"/>
          <w:szCs w:val="21"/>
        </w:rPr>
        <w:t>（财库〔</w:t>
      </w:r>
      <w:r>
        <w:rPr>
          <w:rFonts w:ascii="宋体" w:hAnsi="宋体"/>
          <w:spacing w:val="-6"/>
          <w:sz w:val="21"/>
          <w:szCs w:val="21"/>
        </w:rPr>
        <w:t>2020〕46号</w:t>
      </w:r>
      <w:r>
        <w:rPr>
          <w:rFonts w:hint="eastAsia" w:ascii="宋体" w:hAnsi="宋体"/>
          <w:spacing w:val="-6"/>
          <w:sz w:val="21"/>
          <w:szCs w:val="21"/>
        </w:rPr>
        <w:t>）、</w:t>
      </w:r>
      <w:r>
        <w:rPr>
          <w:rFonts w:ascii="宋体" w:hAnsi="宋体"/>
          <w:spacing w:val="-6"/>
          <w:sz w:val="21"/>
          <w:szCs w:val="21"/>
        </w:rPr>
        <w:t>《关于促进残疾人就业政府采购政策的通知》（财库〔2017〕141号）</w:t>
      </w:r>
      <w:r>
        <w:rPr>
          <w:rFonts w:hint="eastAsia" w:ascii="宋体" w:hAnsi="宋体"/>
          <w:spacing w:val="-6"/>
          <w:sz w:val="21"/>
          <w:szCs w:val="21"/>
        </w:rPr>
        <w:t>、</w:t>
      </w:r>
      <w:r>
        <w:rPr>
          <w:rFonts w:ascii="宋体" w:hAnsi="宋体"/>
          <w:spacing w:val="-6"/>
          <w:sz w:val="21"/>
          <w:szCs w:val="21"/>
        </w:rPr>
        <w:t>《关于政府采购支持监狱企业发展有关问题的通知》（财库[2014]68号）规定企业类型以外的供应商不享受中小企业扶持政策</w:t>
      </w:r>
      <w:r>
        <w:rPr>
          <w:rFonts w:hint="eastAsia" w:ascii="宋体" w:hAnsi="宋体"/>
          <w:spacing w:val="-6"/>
          <w:sz w:val="21"/>
          <w:szCs w:val="21"/>
        </w:rPr>
        <w:t>。</w:t>
      </w:r>
    </w:p>
    <w:p>
      <w:pPr>
        <w:pStyle w:val="12"/>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、磋商文件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 磋商文件的构成。本磋商文件由以下部分组成：</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1.采购邀请</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3.供应商须知</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4.评审方法及评审标准</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6.响应文件格式</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7.本项目磋商文件的澄清、答复、修改、补充的内容</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（二） 供应商的风险</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 磋商文件的澄清与修改</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pPr>
        <w:pStyle w:val="12"/>
        <w:adjustRightInd w:val="0"/>
        <w:snapToGrid w:val="0"/>
        <w:spacing w:beforeLines="0" w:afterLines="0" w:line="288" w:lineRule="auto"/>
        <w:jc w:val="center"/>
        <w:outlineLvl w:val="1"/>
        <w:rPr>
          <w:rFonts w:hAnsi="宋体"/>
          <w:b/>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（一）响应文件的组成</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响应文件由</w:t>
      </w:r>
      <w:r>
        <w:rPr>
          <w:rFonts w:hint="eastAsia" w:hAnsi="宋体"/>
          <w:b/>
          <w:bCs/>
          <w:spacing w:val="-6"/>
          <w:sz w:val="21"/>
          <w:szCs w:val="21"/>
        </w:rPr>
        <w:t>资格文件、</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组成（格式详见磋商文件第六章）。</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响应文件组成：详见“第六章</w:t>
      </w:r>
      <w:r>
        <w:rPr>
          <w:rFonts w:ascii="宋体" w:hAnsi="宋体"/>
          <w:spacing w:val="-6"/>
          <w:sz w:val="21"/>
          <w:szCs w:val="21"/>
        </w:rPr>
        <w:t xml:space="preserve">  </w:t>
      </w:r>
      <w:r>
        <w:rPr>
          <w:rFonts w:hint="eastAsia" w:ascii="宋体" w:hAnsi="宋体"/>
          <w:spacing w:val="-6"/>
          <w:sz w:val="21"/>
          <w:szCs w:val="21"/>
        </w:rPr>
        <w:t>响应</w:t>
      </w:r>
      <w:r>
        <w:rPr>
          <w:rFonts w:ascii="宋体" w:hAnsi="宋体"/>
          <w:spacing w:val="-6"/>
          <w:sz w:val="21"/>
          <w:szCs w:val="21"/>
        </w:rPr>
        <w:t>文件格式</w:t>
      </w:r>
      <w:r>
        <w:rPr>
          <w:rFonts w:hint="eastAsia" w:ascii="宋体" w:hAnsi="宋体"/>
          <w:spacing w:val="-6"/>
          <w:sz w:val="21"/>
          <w:szCs w:val="21"/>
        </w:rPr>
        <w:t>”目录</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（二）响应文件的编制、份数、包装、递交、修改和撤回</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1.供应商应按本磋商文件规定的格式和顺序编制、装订响应文件，响应文件内容不完整、编排混乱导致响应文件被误读、漏读或者查找不到相关内容的，是供应商的责任。</w:t>
      </w:r>
    </w:p>
    <w:p>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2</w:t>
      </w: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合并装订成册，其中正本一份、副本三份，响应文件的封面应注明“正本“、“副本”字样。正本与副本不一致的，以正本为准。</w:t>
      </w:r>
    </w:p>
    <w:p>
      <w:pPr>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▲活页装订（卡条、抽杆夹、订书机、散装）的响应文件无效。</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.供应商应在响应文件包装封面上注明供应商名称、供应商地址、磋商响应项目名称、项目编号及“响应文件开启时启封”字样，并加盖供应商公章。</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标记的响应文件被误投或提前拆封的风险由供应商承担。</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5</w:t>
      </w:r>
      <w:r>
        <w:rPr>
          <w:rFonts w:hint="eastAsia" w:ascii="宋体" w:hAnsi="宋体"/>
          <w:spacing w:val="-6"/>
          <w:sz w:val="21"/>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（三）响应文件的签署</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.响应文件的正本需打印或用不褪色的墨水填写，响应文件正本除本《供应商须知》中规定的可提供复印件外均须提供原件。副本可以是正本的复印件。</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.响应</w:t>
      </w:r>
      <w:r>
        <w:rPr>
          <w:rFonts w:ascii="宋体" w:hAnsi="宋体"/>
          <w:spacing w:val="-6"/>
          <w:sz w:val="21"/>
          <w:szCs w:val="21"/>
        </w:rPr>
        <w:t>文件</w:t>
      </w:r>
      <w:r>
        <w:rPr>
          <w:rFonts w:hint="eastAsia" w:ascii="宋体" w:hAnsi="宋体"/>
          <w:spacing w:val="-6"/>
          <w:sz w:val="21"/>
          <w:szCs w:val="21"/>
        </w:rPr>
        <w:t>须由供应商在规定位置盖章并由供应商</w:t>
      </w:r>
      <w:r>
        <w:rPr>
          <w:rFonts w:ascii="宋体" w:hAnsi="宋体"/>
          <w:spacing w:val="-6"/>
          <w:sz w:val="21"/>
          <w:szCs w:val="21"/>
        </w:rPr>
        <w:t>代表</w:t>
      </w:r>
      <w:r>
        <w:rPr>
          <w:rFonts w:hint="eastAsia" w:ascii="宋体" w:hAnsi="宋体"/>
          <w:spacing w:val="-6"/>
          <w:sz w:val="21"/>
          <w:szCs w:val="21"/>
        </w:rPr>
        <w:t>签署，供应商应写全称。</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.响应</w:t>
      </w:r>
      <w:r>
        <w:rPr>
          <w:rFonts w:ascii="宋体" w:hAnsi="宋体"/>
          <w:spacing w:val="-6"/>
          <w:sz w:val="21"/>
          <w:szCs w:val="21"/>
        </w:rPr>
        <w:t>文件</w:t>
      </w:r>
      <w:r>
        <w:rPr>
          <w:rFonts w:hint="eastAsia" w:ascii="宋体" w:hAnsi="宋体"/>
          <w:spacing w:val="-6"/>
          <w:sz w:val="21"/>
          <w:szCs w:val="21"/>
        </w:rPr>
        <w:t>不得涂改，若有修改错漏处，须由供应商</w:t>
      </w:r>
      <w:r>
        <w:rPr>
          <w:rFonts w:ascii="宋体" w:hAnsi="宋体"/>
          <w:spacing w:val="-6"/>
          <w:sz w:val="21"/>
          <w:szCs w:val="21"/>
        </w:rPr>
        <w:t>代表</w:t>
      </w:r>
      <w:r>
        <w:rPr>
          <w:rFonts w:hint="eastAsia" w:ascii="宋体" w:hAnsi="宋体"/>
          <w:spacing w:val="-6"/>
          <w:sz w:val="21"/>
          <w:szCs w:val="21"/>
        </w:rPr>
        <w:t>签名并加盖公章。响应文件因字迹潦草或表达不清所引起的后果由供应商负责。</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（四）响应文件的语言及计量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（五）磋商响应报价</w:t>
      </w:r>
    </w:p>
    <w:p>
      <w:pPr>
        <w:pStyle w:val="12"/>
        <w:adjustRightInd w:val="0"/>
        <w:snapToGrid w:val="0"/>
        <w:spacing w:beforeLines="0" w:afterLines="0" w:line="288" w:lineRule="auto"/>
        <w:ind w:firstLine="396" w:firstLineChars="200"/>
        <w:jc w:val="left"/>
        <w:rPr>
          <w:rFonts w:hAnsi="宋体"/>
          <w:bCs/>
          <w:spacing w:val="-6"/>
          <w:sz w:val="21"/>
          <w:szCs w:val="21"/>
        </w:rPr>
      </w:pPr>
      <w:r>
        <w:rPr>
          <w:rFonts w:hint="eastAsia" w:hAnsi="宋体"/>
          <w:bCs/>
          <w:spacing w:val="-6"/>
          <w:sz w:val="21"/>
          <w:szCs w:val="21"/>
        </w:rPr>
        <w:t>1.报价应按磋商文件要求的格式编制、填写报价内容（可自行增行），未按磋商文件要求编制、填写的响应文件可能被拒绝；</w:t>
      </w:r>
    </w:p>
    <w:p>
      <w:pPr>
        <w:spacing w:line="288" w:lineRule="auto"/>
        <w:ind w:firstLine="420" w:firstLineChars="200"/>
        <w:jc w:val="left"/>
        <w:rPr>
          <w:rFonts w:ascii="宋体" w:hAnsi="宋体" w:cs="宋体"/>
          <w:bCs/>
          <w:sz w:val="21"/>
          <w:szCs w:val="21"/>
        </w:rPr>
      </w:pPr>
      <w:r>
        <w:rPr>
          <w:rFonts w:hint="eastAsia" w:ascii="宋体" w:hAnsi="宋体" w:cs="宋体"/>
          <w:bCs/>
          <w:sz w:val="21"/>
          <w:szCs w:val="21"/>
        </w:rPr>
        <w:t>2.以人民币报价；</w:t>
      </w:r>
    </w:p>
    <w:p>
      <w:pPr>
        <w:pStyle w:val="12"/>
        <w:adjustRightInd w:val="0"/>
        <w:snapToGrid w:val="0"/>
        <w:spacing w:beforeLines="0" w:afterLines="0" w:line="288" w:lineRule="auto"/>
        <w:ind w:firstLine="396" w:firstLineChars="200"/>
        <w:jc w:val="left"/>
        <w:rPr>
          <w:rFonts w:hAnsi="宋体"/>
          <w:bCs/>
          <w:spacing w:val="-6"/>
          <w:sz w:val="21"/>
          <w:szCs w:val="21"/>
        </w:rPr>
      </w:pPr>
      <w:r>
        <w:rPr>
          <w:rFonts w:hint="eastAsia" w:hAnsi="宋体"/>
          <w:bCs/>
          <w:spacing w:val="-6"/>
          <w:sz w:val="21"/>
          <w:szCs w:val="21"/>
        </w:rPr>
        <w:t>3.最后磋商报价是履行合同的最终价格，有关本项目实施所涉及的一切费用均计入报价。</w:t>
      </w:r>
    </w:p>
    <w:p>
      <w:pPr>
        <w:adjustRightInd w:val="0"/>
        <w:snapToGrid w:val="0"/>
        <w:spacing w:line="288" w:lineRule="auto"/>
        <w:ind w:firstLine="420" w:firstLineChars="200"/>
        <w:jc w:val="left"/>
        <w:rPr>
          <w:rFonts w:ascii="宋体" w:hAnsi="宋体"/>
          <w:sz w:val="21"/>
          <w:szCs w:val="21"/>
        </w:rPr>
      </w:pPr>
      <w:r>
        <w:rPr>
          <w:rFonts w:hint="eastAsia" w:ascii="宋体" w:hAnsi="宋体" w:cs="宋体"/>
          <w:sz w:val="21"/>
          <w:szCs w:val="21"/>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pStyle w:val="4"/>
        <w:widowControl w:val="0"/>
        <w:numPr>
          <w:ilvl w:val="0"/>
          <w:numId w:val="0"/>
        </w:numPr>
        <w:adjustRightInd w:val="0"/>
        <w:snapToGrid w:val="0"/>
        <w:spacing w:afterLines="0" w:line="288" w:lineRule="auto"/>
        <w:ind w:left="284" w:hanging="284" w:hangingChars="143"/>
        <w:rPr>
          <w:rFonts w:ascii="宋体" w:hAnsi="宋体"/>
          <w:b/>
          <w:spacing w:val="-6"/>
          <w:kern w:val="2"/>
          <w:sz w:val="21"/>
          <w:szCs w:val="21"/>
        </w:rPr>
      </w:pPr>
      <w:r>
        <w:rPr>
          <w:rFonts w:hint="eastAsia" w:ascii="宋体" w:hAnsi="宋体"/>
          <w:b/>
          <w:spacing w:val="-6"/>
          <w:kern w:val="2"/>
          <w:sz w:val="21"/>
          <w:szCs w:val="21"/>
        </w:rPr>
        <w:t>（六）响应有效期</w:t>
      </w:r>
    </w:p>
    <w:p>
      <w:pPr>
        <w:pStyle w:val="12"/>
        <w:adjustRightInd w:val="0"/>
        <w:snapToGrid w:val="0"/>
        <w:spacing w:beforeLines="0" w:afterLines="0" w:line="288" w:lineRule="auto"/>
        <w:ind w:firstLine="396" w:firstLineChars="200"/>
        <w:jc w:val="left"/>
        <w:rPr>
          <w:rFonts w:hAnsi="宋体"/>
          <w:spacing w:val="-6"/>
          <w:sz w:val="21"/>
          <w:szCs w:val="21"/>
        </w:rPr>
      </w:pPr>
      <w:r>
        <w:rPr>
          <w:rFonts w:hint="eastAsia" w:hAnsi="宋体"/>
          <w:spacing w:val="-6"/>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cs="宋体"/>
          <w:b/>
          <w:bCs/>
          <w:sz w:val="21"/>
          <w:szCs w:val="21"/>
        </w:rPr>
      </w:pPr>
      <w:r>
        <w:rPr>
          <w:rFonts w:hint="eastAsia" w:ascii="宋体" w:hAnsi="宋体" w:cs="宋体"/>
          <w:b/>
          <w:bCs/>
          <w:sz w:val="21"/>
          <w:szCs w:val="21"/>
        </w:rPr>
        <w:t>四、响应无效的情形</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未响应磋商文件“▲”标记条款要求的，响应无效。</w:t>
      </w:r>
    </w:p>
    <w:p>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在资格审查时，如发现下列情形之一的，响应文件将被视为无效：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磋商</w:t>
      </w:r>
      <w:r>
        <w:rPr>
          <w:rFonts w:ascii="宋体" w:hAnsi="宋体"/>
          <w:spacing w:val="-6"/>
          <w:sz w:val="21"/>
          <w:szCs w:val="21"/>
        </w:rPr>
        <w:t>文件要求的</w:t>
      </w:r>
      <w:r>
        <w:rPr>
          <w:rFonts w:hint="eastAsia"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2</w:t>
      </w:r>
      <w:r>
        <w:rPr>
          <w:rFonts w:hint="eastAsia" w:ascii="宋体" w:hAnsi="宋体"/>
          <w:spacing w:val="-6"/>
          <w:sz w:val="21"/>
          <w:szCs w:val="21"/>
        </w:rPr>
        <w:t>）供应商不具备磋商文件中规定的资格要求的；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3）</w:t>
      </w:r>
      <w:r>
        <w:rPr>
          <w:rFonts w:hint="eastAsia" w:ascii="宋体" w:hAnsi="宋体"/>
          <w:spacing w:val="-6"/>
          <w:sz w:val="21"/>
          <w:szCs w:val="21"/>
        </w:rPr>
        <w:t>资格</w:t>
      </w:r>
      <w:r>
        <w:rPr>
          <w:rFonts w:ascii="宋体" w:hAnsi="宋体"/>
          <w:spacing w:val="-6"/>
          <w:sz w:val="21"/>
          <w:szCs w:val="21"/>
        </w:rPr>
        <w:t>文件</w:t>
      </w:r>
      <w:r>
        <w:rPr>
          <w:rFonts w:hint="eastAsia" w:ascii="宋体" w:hAnsi="宋体"/>
          <w:spacing w:val="-6"/>
          <w:sz w:val="21"/>
          <w:szCs w:val="21"/>
        </w:rPr>
        <w:t>未按要求签署、盖章的；</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时，如发现下列情形之一的，响应文件将被视为无效：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（2）未提供或未按要求提供响应函</w:t>
      </w:r>
      <w:r>
        <w:rPr>
          <w:rFonts w:ascii="宋体" w:hAnsi="宋体"/>
          <w:spacing w:val="-6"/>
          <w:sz w:val="21"/>
          <w:szCs w:val="21"/>
        </w:rPr>
        <w:t>、</w:t>
      </w:r>
      <w:r>
        <w:rPr>
          <w:rFonts w:hint="eastAsia" w:ascii="宋体" w:hAnsi="宋体"/>
          <w:spacing w:val="-6"/>
          <w:sz w:val="21"/>
          <w:szCs w:val="21"/>
        </w:rPr>
        <w:t>法定代表人授权委托书；</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（3）法定代表人委托授权代表</w:t>
      </w:r>
      <w:r>
        <w:rPr>
          <w:rFonts w:ascii="宋体" w:hAnsi="宋体"/>
          <w:spacing w:val="-6"/>
          <w:sz w:val="21"/>
          <w:szCs w:val="21"/>
        </w:rPr>
        <w:t>参加</w:t>
      </w:r>
      <w:r>
        <w:rPr>
          <w:rFonts w:hint="eastAsia" w:ascii="宋体" w:hAnsi="宋体"/>
          <w:spacing w:val="-6"/>
          <w:sz w:val="21"/>
          <w:szCs w:val="21"/>
        </w:rPr>
        <w:t>响应但未按要求</w:t>
      </w:r>
      <w:r>
        <w:rPr>
          <w:rFonts w:ascii="宋体" w:hAnsi="宋体"/>
          <w:spacing w:val="-6"/>
          <w:sz w:val="21"/>
          <w:szCs w:val="21"/>
        </w:rPr>
        <w:t>提供</w:t>
      </w:r>
      <w:r>
        <w:rPr>
          <w:rFonts w:hint="eastAsia" w:ascii="宋体" w:hAnsi="宋体"/>
          <w:spacing w:val="-6"/>
          <w:sz w:val="21"/>
          <w:szCs w:val="21"/>
        </w:rPr>
        <w:t>授权代表社保缴纳证明的</w:t>
      </w:r>
      <w:r>
        <w:rPr>
          <w:rFonts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需求偏离表的；</w:t>
      </w:r>
    </w:p>
    <w:p>
      <w:pPr>
        <w:adjustRightInd w:val="0"/>
        <w:snapToGrid w:val="0"/>
        <w:spacing w:line="288" w:lineRule="auto"/>
        <w:ind w:firstLine="396" w:firstLineChars="200"/>
        <w:rPr>
          <w:rFonts w:ascii="宋体" w:hAnsi="宋体"/>
          <w:spacing w:val="-6"/>
          <w:sz w:val="21"/>
          <w:szCs w:val="21"/>
        </w:rPr>
      </w:pPr>
      <w:bookmarkStart w:id="48" w:name="_Hlk104289230"/>
      <w:r>
        <w:rPr>
          <w:rFonts w:hint="eastAsia" w:ascii="宋体" w:hAnsi="宋体"/>
          <w:spacing w:val="-6"/>
          <w:sz w:val="21"/>
          <w:szCs w:val="21"/>
        </w:rPr>
        <w:t>（5）</w:t>
      </w:r>
      <w:r>
        <w:rPr>
          <w:rFonts w:ascii="宋体" w:hAnsi="宋体"/>
          <w:spacing w:val="-6"/>
          <w:sz w:val="21"/>
          <w:szCs w:val="21"/>
        </w:rPr>
        <w:t>明显不符合</w:t>
      </w:r>
      <w:r>
        <w:rPr>
          <w:rFonts w:hint="eastAsia" w:ascii="宋体" w:hAnsi="宋体"/>
          <w:spacing w:val="-6"/>
          <w:sz w:val="21"/>
          <w:szCs w:val="21"/>
        </w:rPr>
        <w:t>磋商</w:t>
      </w:r>
      <w:r>
        <w:rPr>
          <w:rFonts w:ascii="宋体" w:hAnsi="宋体"/>
          <w:spacing w:val="-6"/>
          <w:sz w:val="21"/>
          <w:szCs w:val="21"/>
        </w:rPr>
        <w:t>文件</w:t>
      </w:r>
      <w:r>
        <w:rPr>
          <w:rFonts w:hint="eastAsia" w:ascii="宋体" w:hAnsi="宋体"/>
          <w:spacing w:val="-6"/>
          <w:sz w:val="21"/>
          <w:szCs w:val="21"/>
        </w:rPr>
        <w:t>要求，或</w:t>
      </w:r>
      <w:r>
        <w:rPr>
          <w:rFonts w:hint="eastAsia" w:ascii="宋体" w:hAnsi="宋体" w:cs="宋体"/>
          <w:sz w:val="21"/>
          <w:szCs w:val="21"/>
        </w:rPr>
        <w:t>负偏离达到规定数目的</w:t>
      </w:r>
      <w:r>
        <w:rPr>
          <w:rFonts w:hint="eastAsia" w:ascii="宋体" w:hAnsi="宋体"/>
          <w:spacing w:val="-6"/>
          <w:sz w:val="21"/>
          <w:szCs w:val="21"/>
        </w:rPr>
        <w:t>，视为采购人不能接受的附加条件；</w:t>
      </w:r>
      <w:bookmarkEnd w:id="48"/>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）响应</w:t>
      </w:r>
      <w:r>
        <w:rPr>
          <w:rFonts w:ascii="宋体" w:hAnsi="宋体"/>
          <w:spacing w:val="-6"/>
          <w:sz w:val="21"/>
          <w:szCs w:val="21"/>
        </w:rPr>
        <w:t>技术方案不明确，存在一个或一个以上备选（替代）</w:t>
      </w:r>
      <w:r>
        <w:rPr>
          <w:rFonts w:hint="eastAsia" w:ascii="宋体" w:hAnsi="宋体"/>
          <w:spacing w:val="-6"/>
          <w:sz w:val="21"/>
          <w:szCs w:val="21"/>
        </w:rPr>
        <w:t>响应</w:t>
      </w:r>
      <w:r>
        <w:rPr>
          <w:rFonts w:ascii="宋体" w:hAnsi="宋体"/>
          <w:spacing w:val="-6"/>
          <w:sz w:val="21"/>
          <w:szCs w:val="21"/>
        </w:rPr>
        <w:t>方案的；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）响应文件含有采购人不能接受的附加条件的；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）法律、法规和磋商文件规定的其他无效情形。</w:t>
      </w:r>
    </w:p>
    <w:p>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w:t>
      </w:r>
      <w:r>
        <w:rPr>
          <w:rFonts w:hint="eastAsia" w:ascii="宋体" w:hAnsi="宋体"/>
          <w:b/>
          <w:spacing w:val="-6"/>
          <w:sz w:val="21"/>
          <w:szCs w:val="21"/>
        </w:rPr>
        <w:t>响应</w:t>
      </w:r>
      <w:r>
        <w:rPr>
          <w:rFonts w:ascii="宋体" w:hAnsi="宋体"/>
          <w:b/>
          <w:spacing w:val="-6"/>
          <w:sz w:val="21"/>
          <w:szCs w:val="21"/>
        </w:rPr>
        <w:t>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（1）最后报价超过磋商文件中规定的预算金额或最高限价的；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（2）最后报价具有选择性的；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4.有下列情形之一的，视为供应商串通，其响应无效：</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（1）不同供应商的响应文件由同一单位或者个人编制；</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（2）不同供应商委托同一单位或者个人办理磋商事宜；</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（3）不同供应商的响应文件载明的项目管理成员或者联系人员为同一人；</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（4）不同供应商的响应文件异常一致或者最后报价呈规律性差异；</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（5）不同供应商的响应文件相互混装。</w:t>
      </w:r>
    </w:p>
    <w:p>
      <w:pPr>
        <w:pStyle w:val="12"/>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int="eastAsia" w:hAnsi="宋体"/>
          <w:b/>
          <w:spacing w:val="-6"/>
          <w:sz w:val="21"/>
          <w:szCs w:val="21"/>
        </w:rPr>
        <w:t>五、响应文件开启</w:t>
      </w:r>
    </w:p>
    <w:p>
      <w:pPr>
        <w:autoSpaceDE w:val="0"/>
        <w:autoSpaceDN w:val="0"/>
        <w:adjustRightInd w:val="0"/>
        <w:snapToGrid w:val="0"/>
        <w:spacing w:line="288" w:lineRule="auto"/>
        <w:ind w:firstLine="422" w:firstLineChars="201"/>
        <w:rPr>
          <w:rFonts w:ascii="宋体" w:hAnsi="宋体" w:cs="仿宋_GB2312"/>
          <w:kern w:val="0"/>
          <w:sz w:val="21"/>
          <w:szCs w:val="21"/>
        </w:rPr>
      </w:pPr>
      <w:r>
        <w:rPr>
          <w:rFonts w:ascii="宋体" w:hAnsi="宋体" w:cs="仿宋_GB2312"/>
          <w:kern w:val="0"/>
          <w:sz w:val="21"/>
          <w:szCs w:val="21"/>
        </w:rPr>
        <w:t>采购</w:t>
      </w:r>
      <w:r>
        <w:rPr>
          <w:rFonts w:hint="eastAsia" w:ascii="宋体" w:hAnsi="宋体" w:cs="仿宋_GB2312"/>
          <w:kern w:val="0"/>
          <w:sz w:val="21"/>
          <w:szCs w:val="21"/>
        </w:rPr>
        <w:t>代理</w:t>
      </w:r>
      <w:r>
        <w:rPr>
          <w:rFonts w:ascii="宋体" w:hAnsi="宋体" w:cs="仿宋_GB2312"/>
          <w:kern w:val="0"/>
          <w:sz w:val="21"/>
          <w:szCs w:val="21"/>
        </w:rPr>
        <w:t>机构按照磋商文件规定的时间</w:t>
      </w:r>
      <w:r>
        <w:rPr>
          <w:rFonts w:hint="eastAsia" w:ascii="宋体" w:hAnsi="宋体" w:cs="仿宋_GB2312"/>
          <w:kern w:val="0"/>
          <w:sz w:val="21"/>
          <w:szCs w:val="21"/>
        </w:rPr>
        <w:t>地点</w:t>
      </w:r>
      <w:r>
        <w:rPr>
          <w:rFonts w:ascii="宋体" w:hAnsi="宋体" w:cs="仿宋_GB2312"/>
          <w:kern w:val="0"/>
          <w:sz w:val="21"/>
          <w:szCs w:val="21"/>
        </w:rPr>
        <w:t>开启</w:t>
      </w:r>
      <w:r>
        <w:rPr>
          <w:rFonts w:hint="eastAsia" w:ascii="宋体" w:hAnsi="宋体" w:cs="仿宋_GB2312"/>
          <w:kern w:val="0"/>
          <w:sz w:val="21"/>
          <w:szCs w:val="21"/>
        </w:rPr>
        <w:t>响应文件</w:t>
      </w:r>
      <w:r>
        <w:rPr>
          <w:rFonts w:ascii="宋体" w:hAnsi="宋体" w:cs="仿宋_GB2312"/>
          <w:kern w:val="0"/>
          <w:sz w:val="21"/>
          <w:szCs w:val="21"/>
        </w:rPr>
        <w:t>，所有供应商均应当准时参加。供应商不足3家的，不得开启。</w:t>
      </w:r>
    </w:p>
    <w:p>
      <w:pPr>
        <w:pStyle w:val="10"/>
        <w:adjustRightInd w:val="0"/>
        <w:snapToGrid w:val="0"/>
        <w:spacing w:line="288" w:lineRule="auto"/>
        <w:ind w:firstLine="0"/>
        <w:rPr>
          <w:rFonts w:hAnsi="宋体"/>
          <w:b/>
          <w:spacing w:val="-6"/>
          <w:sz w:val="21"/>
          <w:szCs w:val="21"/>
        </w:rPr>
      </w:pPr>
    </w:p>
    <w:p>
      <w:pPr>
        <w:adjustRightInd w:val="0"/>
        <w:snapToGrid w:val="0"/>
        <w:spacing w:line="288" w:lineRule="auto"/>
        <w:jc w:val="center"/>
        <w:outlineLvl w:val="1"/>
        <w:rPr>
          <w:rFonts w:ascii="宋体" w:hAnsi="宋体" w:cs="宋体"/>
          <w:b/>
          <w:bCs/>
          <w:sz w:val="21"/>
          <w:szCs w:val="21"/>
        </w:rPr>
      </w:pPr>
      <w:r>
        <w:rPr>
          <w:rFonts w:hint="eastAsia" w:ascii="宋体" w:hAnsi="宋体" w:cs="宋体"/>
          <w:b/>
          <w:bCs/>
          <w:sz w:val="21"/>
          <w:szCs w:val="21"/>
        </w:rPr>
        <w:t>六、评审程序</w:t>
      </w:r>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ascii="宋体" w:hAnsi="宋体" w:cs="仿宋_GB2312"/>
          <w:b/>
          <w:sz w:val="21"/>
          <w:szCs w:val="21"/>
        </w:rPr>
      </w:pPr>
      <w:r>
        <w:rPr>
          <w:rFonts w:hint="eastAsia" w:ascii="宋体" w:hAnsi="宋体" w:cs="仿宋_GB2312"/>
          <w:b/>
          <w:sz w:val="21"/>
          <w:szCs w:val="21"/>
        </w:rPr>
        <w:t>（一）</w:t>
      </w:r>
      <w:r>
        <w:rPr>
          <w:rFonts w:ascii="宋体" w:hAnsi="宋体" w:cs="仿宋_GB2312"/>
          <w:b/>
          <w:sz w:val="21"/>
          <w:szCs w:val="21"/>
        </w:rPr>
        <w:t>资格审查</w:t>
      </w:r>
    </w:p>
    <w:p>
      <w:pPr>
        <w:adjustRightInd w:val="0"/>
        <w:snapToGrid w:val="0"/>
        <w:spacing w:line="288" w:lineRule="auto"/>
        <w:ind w:firstLine="422" w:firstLineChars="201"/>
        <w:rPr>
          <w:rFonts w:ascii="宋体" w:hAnsi="宋体" w:cs="仿宋_GB2312"/>
          <w:sz w:val="21"/>
          <w:szCs w:val="21"/>
        </w:rPr>
      </w:pPr>
      <w:r>
        <w:rPr>
          <w:rFonts w:ascii="宋体" w:hAnsi="宋体" w:cs="Arial"/>
          <w:kern w:val="0"/>
          <w:sz w:val="21"/>
          <w:szCs w:val="21"/>
        </w:rPr>
        <w:t>开启后，</w:t>
      </w:r>
      <w:r>
        <w:rPr>
          <w:rFonts w:hint="eastAsia" w:ascii="宋体" w:hAnsi="宋体"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对未通过资格审查的供应商，</w:t>
      </w:r>
      <w:r>
        <w:rPr>
          <w:rFonts w:hint="eastAsia" w:ascii="宋体" w:hAnsi="宋体" w:cs="仿宋_GB2312"/>
          <w:sz w:val="21"/>
          <w:szCs w:val="21"/>
        </w:rPr>
        <w:t>磋商小组</w:t>
      </w:r>
      <w:r>
        <w:rPr>
          <w:rFonts w:ascii="宋体" w:hAnsi="宋体" w:cs="仿宋_GB2312"/>
          <w:sz w:val="21"/>
          <w:szCs w:val="21"/>
        </w:rPr>
        <w:t>告知其未通过的原因。</w:t>
      </w:r>
    </w:p>
    <w:p>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通过资格审查的供应商不足3家的，不再评标。</w:t>
      </w:r>
    </w:p>
    <w:p>
      <w:pPr>
        <w:adjustRightInd w:val="0"/>
        <w:snapToGrid w:val="0"/>
        <w:spacing w:line="288" w:lineRule="auto"/>
        <w:ind w:firstLine="424" w:firstLineChars="201"/>
        <w:rPr>
          <w:rFonts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信用信息查询</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根据财库[2016]125号《关于在政府采购活动中查询及使用信用记录有关问题的通知》要求，采购代理机构会对供应商信用记录进行查询并甄别。信用信息查询的截止时点：响应截止时间；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）查询渠道：“信用中国”（www.creditchina.gov.cn）、“中国政府采购网”（www.ccgp.gov.cn）；</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rFonts w:ascii="宋体" w:hAnsi="宋体" w:cs="宋体"/>
          <w:bCs/>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符合性审查</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磋商小组对符合资格的</w:t>
      </w:r>
      <w:r>
        <w:rPr>
          <w:rFonts w:hint="eastAsia" w:ascii="宋体" w:hAnsi="宋体" w:cs="Arial"/>
          <w:kern w:val="0"/>
          <w:sz w:val="21"/>
          <w:szCs w:val="21"/>
        </w:rPr>
        <w:t>供应商</w:t>
      </w:r>
      <w:r>
        <w:rPr>
          <w:rFonts w:ascii="宋体" w:hAnsi="宋体" w:cs="Arial"/>
          <w:kern w:val="0"/>
          <w:sz w:val="21"/>
          <w:szCs w:val="21"/>
        </w:rPr>
        <w:t>的</w:t>
      </w:r>
      <w:r>
        <w:rPr>
          <w:rFonts w:hint="eastAsia" w:ascii="宋体" w:hAnsi="宋体" w:cs="Arial"/>
          <w:kern w:val="0"/>
          <w:sz w:val="21"/>
          <w:szCs w:val="21"/>
        </w:rPr>
        <w:t>响应</w:t>
      </w:r>
      <w:r>
        <w:rPr>
          <w:rFonts w:ascii="宋体" w:hAnsi="宋体" w:cs="Arial"/>
          <w:kern w:val="0"/>
          <w:sz w:val="21"/>
          <w:szCs w:val="21"/>
        </w:rPr>
        <w:t>文件进行符合性审查，以确定其是否满足磋商文件的实质性要求。</w:t>
      </w:r>
    </w:p>
    <w:p>
      <w:pPr>
        <w:adjustRightInd w:val="0"/>
        <w:snapToGrid w:val="0"/>
        <w:spacing w:line="288" w:lineRule="auto"/>
        <w:ind w:firstLine="426" w:firstLineChars="202"/>
        <w:rPr>
          <w:rFonts w:ascii="宋体" w:hAnsi="宋体" w:cs="Arial"/>
          <w:b/>
          <w:bCs/>
          <w:kern w:val="0"/>
          <w:sz w:val="21"/>
          <w:szCs w:val="21"/>
        </w:rPr>
      </w:pPr>
      <w:r>
        <w:rPr>
          <w:rFonts w:hint="eastAsia" w:ascii="宋体" w:hAnsi="宋体" w:cs="Arial"/>
          <w:b/>
          <w:bCs/>
          <w:kern w:val="0"/>
          <w:sz w:val="21"/>
          <w:szCs w:val="21"/>
        </w:rPr>
        <w:t>（四）磋商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对磋商文件作出的实质性变动是磋商文件的有效组成部分，磋商小组应当及时以书面形式同时通知所有参加磋商的供应商。</w:t>
      </w:r>
    </w:p>
    <w:p>
      <w:pPr>
        <w:adjustRightInd w:val="0"/>
        <w:snapToGrid w:val="0"/>
        <w:spacing w:line="288" w:lineRule="auto"/>
        <w:ind w:firstLine="420" w:firstLineChars="200"/>
        <w:rPr>
          <w:rFonts w:ascii="宋体" w:hAnsi="宋体" w:cs="宋体"/>
          <w:kern w:val="0"/>
          <w:sz w:val="21"/>
          <w:szCs w:val="21"/>
        </w:rPr>
      </w:pPr>
      <w:r>
        <w:rPr>
          <w:rFonts w:hint="eastAsia" w:ascii="宋体" w:hAnsi="宋体" w:cs="Arial"/>
          <w:kern w:val="0"/>
          <w:sz w:val="21"/>
          <w:szCs w:val="21"/>
        </w:rPr>
        <w:t>供应商应当按照磋商文件的变动情况和磋商小组的要求提交磋商记录，并由其法定代表人或授权代表签名或者加盖公章。</w:t>
      </w:r>
    </w:p>
    <w:p>
      <w:pPr>
        <w:adjustRightInd w:val="0"/>
        <w:snapToGrid w:val="0"/>
        <w:spacing w:line="288" w:lineRule="auto"/>
        <w:ind w:firstLine="426" w:firstLineChars="202"/>
        <w:rPr>
          <w:rFonts w:ascii="宋体" w:hAnsi="宋体" w:cs="Arial"/>
          <w:b/>
          <w:bCs/>
          <w:kern w:val="0"/>
          <w:sz w:val="21"/>
          <w:szCs w:val="21"/>
        </w:rPr>
      </w:pPr>
      <w:r>
        <w:rPr>
          <w:rFonts w:hint="eastAsia" w:ascii="宋体" w:hAnsi="宋体" w:cs="Arial"/>
          <w:b/>
          <w:bCs/>
          <w:kern w:val="0"/>
          <w:sz w:val="21"/>
          <w:szCs w:val="21"/>
        </w:rPr>
        <w:t>（五）最后报价</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ascii="宋体" w:hAnsi="宋体" w:cs="Arial"/>
          <w:kern w:val="0"/>
          <w:sz w:val="21"/>
          <w:szCs w:val="21"/>
        </w:rPr>
        <w:t>3家。</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ascii="宋体" w:hAnsi="宋体" w:cs="Arial"/>
          <w:kern w:val="0"/>
          <w:sz w:val="21"/>
          <w:szCs w:val="21"/>
        </w:rPr>
        <w:t>3家以上供应商的设计方案或者解决方案，并要求其在规定时间内提交最后报价。</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最后报价是供应商响应文件的有效组成部分。符合《政府采购竞争性磋商采购方式管理暂行办法》（财库〔</w:t>
      </w:r>
      <w:r>
        <w:rPr>
          <w:rFonts w:ascii="宋体" w:hAnsi="宋体" w:cs="Arial"/>
          <w:kern w:val="0"/>
          <w:sz w:val="21"/>
          <w:szCs w:val="21"/>
        </w:rPr>
        <w:t>2014〕214号</w:t>
      </w:r>
      <w:r>
        <w:rPr>
          <w:rFonts w:hint="eastAsia" w:ascii="宋体" w:hAnsi="宋体" w:cs="Arial"/>
          <w:kern w:val="0"/>
          <w:sz w:val="21"/>
          <w:szCs w:val="21"/>
        </w:rPr>
        <w:t>）第三条第一、四项情形的，提交最后报价的供应商可以为</w:t>
      </w:r>
      <w:r>
        <w:rPr>
          <w:rFonts w:ascii="宋体" w:hAnsi="宋体" w:cs="Arial"/>
          <w:kern w:val="0"/>
          <w:sz w:val="21"/>
          <w:szCs w:val="21"/>
        </w:rPr>
        <w:t>2家。</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（六）综合评分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经磋商确定最终采购需求和提交最后报价的供应商后，由磋商小组采用</w:t>
      </w:r>
      <w:r>
        <w:rPr>
          <w:rFonts w:hint="eastAsia" w:ascii="宋体" w:hAnsi="宋体" w:cs="Arial"/>
          <w:b/>
          <w:bCs/>
          <w:kern w:val="0"/>
          <w:sz w:val="21"/>
          <w:szCs w:val="21"/>
        </w:rPr>
        <w:t>综合评分法</w:t>
      </w:r>
      <w:r>
        <w:rPr>
          <w:rFonts w:hint="eastAsia" w:ascii="宋体" w:hAnsi="宋体" w:cs="Arial"/>
          <w:kern w:val="0"/>
          <w:sz w:val="21"/>
          <w:szCs w:val="21"/>
        </w:rPr>
        <w:t>对提交最后报价的供应商的响应文件和最后报价进行综合评分。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汇总商务技术得分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ascii="宋体" w:hAnsi="宋体" w:cs="Arial"/>
          <w:kern w:val="0"/>
          <w:sz w:val="21"/>
          <w:szCs w:val="21"/>
        </w:rPr>
      </w:pPr>
      <w:bookmarkStart w:id="49" w:name="_Hlk94088579"/>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9"/>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（八）排序与推荐</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磋商小组应当根据综合评分情况，按照评审得分由高到低顺序推荐</w:t>
      </w:r>
      <w:r>
        <w:rPr>
          <w:rFonts w:ascii="宋体" w:hAnsi="宋体" w:cs="Arial"/>
          <w:kern w:val="0"/>
          <w:sz w:val="21"/>
          <w:szCs w:val="21"/>
        </w:rPr>
        <w:t>3名以上成交候选供应商，并编写评审报告。符合</w:t>
      </w:r>
      <w:r>
        <w:rPr>
          <w:rFonts w:hint="eastAsia" w:ascii="宋体" w:hAnsi="宋体" w:cs="Arial"/>
          <w:kern w:val="0"/>
          <w:sz w:val="21"/>
          <w:szCs w:val="21"/>
        </w:rPr>
        <w:t>《政府采购竞争性磋商采购方式管理暂行办法》（财库〔</w:t>
      </w:r>
      <w:r>
        <w:rPr>
          <w:rFonts w:ascii="宋体" w:hAnsi="宋体" w:cs="Arial"/>
          <w:kern w:val="0"/>
          <w:sz w:val="21"/>
          <w:szCs w:val="21"/>
        </w:rPr>
        <w:t>2014〕214号</w:t>
      </w:r>
      <w:r>
        <w:rPr>
          <w:rFonts w:hint="eastAsia" w:ascii="宋体" w:hAnsi="宋体" w:cs="Arial"/>
          <w:kern w:val="0"/>
          <w:sz w:val="21"/>
          <w:szCs w:val="21"/>
        </w:rPr>
        <w:t>）</w:t>
      </w:r>
      <w:r>
        <w:rPr>
          <w:rFonts w:ascii="宋体" w:hAnsi="宋体" w:cs="Arial"/>
          <w:kern w:val="0"/>
          <w:sz w:val="21"/>
          <w:szCs w:val="21"/>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（九）</w:t>
      </w:r>
      <w:r>
        <w:rPr>
          <w:rFonts w:ascii="宋体" w:hAnsi="宋体" w:cs="Arial"/>
          <w:b/>
          <w:kern w:val="0"/>
          <w:sz w:val="21"/>
          <w:szCs w:val="21"/>
        </w:rPr>
        <w:t>编写评标报告</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rFonts w:ascii="宋体" w:hAnsi="宋体" w:cs="宋体"/>
          <w:b/>
          <w:bCs/>
          <w:sz w:val="21"/>
          <w:szCs w:val="21"/>
        </w:rPr>
      </w:pPr>
      <w:r>
        <w:rPr>
          <w:rFonts w:hint="eastAsia" w:ascii="宋体" w:hAnsi="宋体" w:cs="Arial"/>
          <w:b/>
          <w:kern w:val="0"/>
          <w:sz w:val="21"/>
          <w:szCs w:val="21"/>
        </w:rPr>
        <w:t>（十）补充说明</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采用竞争性磋商采购方式采购的政府购买服务项目（含政府和社会资本合作项目），在采购过程中符合要求的供应商（社会资本）只有2家的，竞争性磋商采购活动可以继续进行。</w:t>
      </w:r>
    </w:p>
    <w:p>
      <w:pPr>
        <w:adjustRightInd w:val="0"/>
        <w:snapToGrid w:val="0"/>
        <w:spacing w:line="288" w:lineRule="auto"/>
        <w:rPr>
          <w:rFonts w:ascii="宋体" w:hAnsi="宋体"/>
          <w:b/>
          <w:spacing w:val="-6"/>
          <w:sz w:val="21"/>
          <w:szCs w:val="21"/>
        </w:rPr>
      </w:pPr>
    </w:p>
    <w:p>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七、成交与合同</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（一）成交</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2.采购代理机构在成交供应商确定后2个工作日内公告成交结果，同时向成交供应商发出成交通知书。采购文件随成交结果同时公告。</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3.评审结果公示媒体：</w:t>
      </w:r>
      <w:r>
        <w:rPr>
          <w:rFonts w:hint="eastAsia" w:ascii="宋体" w:hAnsi="宋体"/>
          <w:sz w:val="21"/>
          <w:szCs w:val="21"/>
        </w:rPr>
        <w:t>中国政府采购网（http://www.ccgp.gov.cn）、浙江大学采购网（http://www.zupc.zju.edu.cn/cms/e?page=cms.index）。</w:t>
      </w:r>
    </w:p>
    <w:p>
      <w:pPr>
        <w:adjustRightInd w:val="0"/>
        <w:snapToGrid w:val="0"/>
        <w:spacing w:line="288" w:lineRule="auto"/>
        <w:rPr>
          <w:rFonts w:ascii="宋体" w:hAnsi="宋体"/>
          <w:spacing w:val="-6"/>
          <w:sz w:val="21"/>
          <w:szCs w:val="21"/>
        </w:rPr>
      </w:pPr>
      <w:r>
        <w:rPr>
          <w:rFonts w:hint="eastAsia" w:ascii="宋体" w:hAnsi="宋体"/>
          <w:b/>
          <w:bCs/>
          <w:spacing w:val="-6"/>
          <w:sz w:val="21"/>
          <w:szCs w:val="21"/>
        </w:rPr>
        <w:t>（二）合同授予</w:t>
      </w:r>
    </w:p>
    <w:p>
      <w:pPr>
        <w:adjustRightInd w:val="0"/>
        <w:snapToGrid w:val="0"/>
        <w:spacing w:line="288" w:lineRule="auto"/>
        <w:ind w:firstLine="423" w:firstLineChars="214"/>
        <w:jc w:val="left"/>
        <w:rPr>
          <w:rFonts w:ascii="宋体" w:hAnsi="宋体"/>
          <w:spacing w:val="-6"/>
          <w:sz w:val="21"/>
          <w:szCs w:val="21"/>
        </w:rPr>
      </w:pPr>
      <w:r>
        <w:rPr>
          <w:rFonts w:hint="eastAsia" w:ascii="宋体" w:hAnsi="宋体"/>
          <w:spacing w:val="-6"/>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3" w:firstLineChars="214"/>
        <w:jc w:val="left"/>
        <w:rPr>
          <w:rFonts w:ascii="宋体" w:hAnsi="宋体"/>
          <w:spacing w:val="-6"/>
          <w:sz w:val="21"/>
          <w:szCs w:val="21"/>
        </w:rPr>
      </w:pPr>
      <w:r>
        <w:rPr>
          <w:rFonts w:hint="eastAsia" w:ascii="宋体" w:hAnsi="宋体"/>
          <w:spacing w:val="-6"/>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423" w:firstLineChars="214"/>
        <w:jc w:val="left"/>
        <w:rPr>
          <w:rFonts w:ascii="宋体" w:hAnsi="宋体"/>
          <w:spacing w:val="-6"/>
          <w:sz w:val="21"/>
          <w:szCs w:val="21"/>
        </w:rPr>
      </w:pP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采购人可以邀请参加本项目的其他供应商或者第三方机构参与验收。参与验收的供应商或者第三方机构的意见作为</w:t>
      </w:r>
      <w:r>
        <w:rPr>
          <w:rFonts w:hint="eastAsia" w:ascii="宋体" w:hAnsi="宋体" w:cs="Helvetica"/>
          <w:kern w:val="0"/>
          <w:sz w:val="21"/>
          <w:szCs w:val="21"/>
        </w:rPr>
        <w:t>验收书的参考资料一并存档。</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widowControl/>
        <w:adjustRightInd w:val="0"/>
        <w:snapToGrid w:val="0"/>
        <w:spacing w:line="288" w:lineRule="auto"/>
        <w:jc w:val="left"/>
        <w:rPr>
          <w:rFonts w:ascii="宋体" w:hAnsi="宋体"/>
          <w:b/>
          <w:spacing w:val="-6"/>
          <w:sz w:val="32"/>
          <w:szCs w:val="32"/>
        </w:rPr>
      </w:pPr>
      <w:r>
        <w:rPr>
          <w:rFonts w:ascii="宋体" w:hAnsi="宋体"/>
          <w:b/>
          <w:spacing w:val="-6"/>
          <w:sz w:val="32"/>
          <w:szCs w:val="32"/>
        </w:rPr>
        <w:br w:type="page"/>
      </w:r>
    </w:p>
    <w:p>
      <w:pPr>
        <w:adjustRightInd w:val="0"/>
        <w:snapToGrid w:val="0"/>
        <w:spacing w:line="288" w:lineRule="auto"/>
        <w:jc w:val="center"/>
        <w:outlineLvl w:val="0"/>
        <w:rPr>
          <w:rFonts w:ascii="宋体" w:hAnsi="宋体"/>
          <w:b/>
          <w:spacing w:val="-6"/>
          <w:sz w:val="32"/>
          <w:szCs w:val="32"/>
        </w:rPr>
      </w:pPr>
      <w:r>
        <w:rPr>
          <w:rFonts w:hint="eastAsia" w:ascii="宋体" w:hAnsi="宋体"/>
          <w:b/>
          <w:spacing w:val="-6"/>
          <w:sz w:val="32"/>
          <w:szCs w:val="32"/>
        </w:rPr>
        <w:t>第四章  评审方法及评审标准</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一、总则</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本次评审采用综合评分法，总分为100分。评分过程中采用四舍五入法，并保留小数2位。</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供应商评审综合得分=商务分+技术分+价格分</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二、评审内容及标准</w:t>
      </w:r>
    </w:p>
    <w:tbl>
      <w:tblPr>
        <w:tblStyle w:val="2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7088" w:type="dxa"/>
            <w:vAlign w:val="center"/>
          </w:tcPr>
          <w:p>
            <w:pPr>
              <w:pStyle w:val="62"/>
              <w:adjustRightInd w:val="0"/>
              <w:snapToGrid w:val="0"/>
              <w:spacing w:line="288" w:lineRule="auto"/>
              <w:ind w:firstLine="398"/>
              <w:rPr>
                <w:rFonts w:hint="default" w:ascii="宋体" w:hAnsi="宋体" w:eastAsia="宋体"/>
                <w:b/>
                <w:spacing w:val="-6"/>
                <w:sz w:val="21"/>
                <w:szCs w:val="21"/>
              </w:rPr>
            </w:pPr>
            <w:r>
              <w:rPr>
                <w:rFonts w:ascii="宋体" w:hAnsi="宋体" w:eastAsia="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pStyle w:val="62"/>
              <w:adjustRightInd w:val="0"/>
              <w:snapToGrid w:val="0"/>
              <w:spacing w:line="288" w:lineRule="auto"/>
              <w:ind w:hanging="4"/>
              <w:jc w:val="left"/>
              <w:rPr>
                <w:rFonts w:hint="default" w:ascii="宋体" w:hAnsi="宋体" w:eastAsia="宋体"/>
                <w:spacing w:val="-6"/>
                <w:sz w:val="21"/>
                <w:szCs w:val="21"/>
              </w:rPr>
            </w:pPr>
            <w:r>
              <w:rPr>
                <w:rFonts w:ascii="宋体" w:hAnsi="宋体" w:eastAsia="宋体"/>
                <w:b/>
                <w:bCs/>
                <w:spacing w:val="-6"/>
                <w:kern w:val="2"/>
                <w:sz w:val="21"/>
                <w:szCs w:val="21"/>
              </w:rPr>
              <w:t>价格分（15）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最后磋商报价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15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价格分采用低价优先法计算，即满足磋商文件要求且最后磋商报价最低的供应商的价格为磋商基准价，其价格分为满分。其他供应商的价格分统一按照下列公式计算：磋商报价得分=（磋商基准价/最后磋商报价）×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pStyle w:val="62"/>
              <w:adjustRightInd w:val="0"/>
              <w:snapToGrid w:val="0"/>
              <w:spacing w:line="288" w:lineRule="auto"/>
              <w:ind w:hanging="4"/>
              <w:jc w:val="left"/>
              <w:rPr>
                <w:rFonts w:hint="default" w:ascii="宋体" w:hAnsi="宋体" w:eastAsia="宋体"/>
                <w:b/>
                <w:spacing w:val="-6"/>
                <w:sz w:val="21"/>
                <w:szCs w:val="21"/>
              </w:rPr>
            </w:pPr>
            <w:r>
              <w:rPr>
                <w:rFonts w:ascii="宋体" w:hAnsi="宋体" w:eastAsia="宋体"/>
                <w:b/>
                <w:spacing w:val="-6"/>
                <w:sz w:val="21"/>
                <w:szCs w:val="21"/>
              </w:rPr>
              <w:t>商务分</w:t>
            </w:r>
            <w:r>
              <w:rPr>
                <w:rFonts w:ascii="宋体" w:hAnsi="宋体" w:eastAsia="宋体"/>
                <w:b/>
                <w:bCs/>
                <w:spacing w:val="-6"/>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cs="宋体"/>
                <w:b/>
                <w:bCs/>
                <w:kern w:val="0"/>
                <w:sz w:val="21"/>
                <w:szCs w:val="21"/>
              </w:rPr>
            </w:pPr>
            <w:r>
              <w:rPr>
                <w:rFonts w:hint="eastAsia" w:ascii="宋体" w:hAnsi="宋体" w:cs="宋体"/>
                <w:b/>
                <w:bCs/>
                <w:kern w:val="0"/>
                <w:sz w:val="21"/>
                <w:szCs w:val="21"/>
              </w:rPr>
              <w:t>体系认证</w:t>
            </w:r>
          </w:p>
        </w:tc>
        <w:tc>
          <w:tcPr>
            <w:tcW w:w="709" w:type="dxa"/>
            <w:vAlign w:val="center"/>
          </w:tcPr>
          <w:p>
            <w:pPr>
              <w:adjustRightInd w:val="0"/>
              <w:snapToGrid w:val="0"/>
              <w:spacing w:line="288" w:lineRule="auto"/>
              <w:jc w:val="center"/>
              <w:rPr>
                <w:rFonts w:ascii="宋体" w:hAnsi="宋体" w:cs="宋体"/>
                <w:b/>
                <w:bCs/>
                <w:kern w:val="0"/>
                <w:sz w:val="21"/>
                <w:szCs w:val="21"/>
              </w:rPr>
            </w:pPr>
            <w:r>
              <w:rPr>
                <w:rFonts w:hint="eastAsia" w:ascii="宋体" w:hAnsi="宋体" w:cs="宋体"/>
                <w:b/>
                <w:bCs/>
                <w:kern w:val="0"/>
                <w:sz w:val="21"/>
                <w:szCs w:val="21"/>
              </w:rPr>
              <w:t>3</w:t>
            </w:r>
          </w:p>
        </w:tc>
        <w:tc>
          <w:tcPr>
            <w:tcW w:w="7088" w:type="dxa"/>
            <w:vAlign w:val="center"/>
          </w:tcPr>
          <w:p>
            <w:pPr>
              <w:adjustRightInd w:val="0"/>
              <w:snapToGrid w:val="0"/>
              <w:spacing w:line="288" w:lineRule="auto"/>
              <w:rPr>
                <w:rFonts w:ascii="宋体" w:hAnsi="宋体"/>
                <w:sz w:val="21"/>
                <w:szCs w:val="21"/>
              </w:rPr>
            </w:pPr>
            <w:r>
              <w:rPr>
                <w:rFonts w:hint="eastAsia" w:ascii="宋体" w:hAnsi="宋体"/>
                <w:sz w:val="21"/>
                <w:szCs w:val="21"/>
              </w:rPr>
              <w:t>【客观分】</w:t>
            </w:r>
          </w:p>
          <w:p>
            <w:pPr>
              <w:adjustRightInd w:val="0"/>
              <w:snapToGrid w:val="0"/>
              <w:spacing w:line="288" w:lineRule="auto"/>
              <w:rPr>
                <w:rFonts w:ascii="宋体" w:hAnsi="宋体" w:cs="宋体"/>
                <w:bCs/>
                <w:kern w:val="0"/>
                <w:sz w:val="21"/>
                <w:szCs w:val="21"/>
              </w:rPr>
            </w:pPr>
            <w:r>
              <w:rPr>
                <w:rFonts w:hint="eastAsia" w:ascii="宋体" w:hAnsi="宋体" w:cs="宋体"/>
                <w:bCs/>
                <w:kern w:val="0"/>
                <w:sz w:val="21"/>
                <w:szCs w:val="21"/>
              </w:rPr>
              <w:t>供应商具有有效的质量管理体系认证证书、信息技术服务管理体系认证证书、信息安全管理体系认证证书的，每提供1份得1分，最高得3分。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cs="宋体"/>
                <w:kern w:val="0"/>
                <w:sz w:val="21"/>
                <w:szCs w:val="21"/>
              </w:rPr>
            </w:pPr>
            <w:r>
              <w:rPr>
                <w:rFonts w:hint="eastAsia" w:ascii="宋体" w:hAnsi="宋体"/>
                <w:b/>
                <w:bCs/>
                <w:sz w:val="21"/>
                <w:szCs w:val="21"/>
              </w:rPr>
              <w:t>业绩</w:t>
            </w:r>
          </w:p>
        </w:tc>
        <w:tc>
          <w:tcPr>
            <w:tcW w:w="709" w:type="dxa"/>
            <w:vAlign w:val="center"/>
          </w:tcPr>
          <w:p>
            <w:pPr>
              <w:adjustRightInd w:val="0"/>
              <w:snapToGrid w:val="0"/>
              <w:spacing w:line="288" w:lineRule="auto"/>
              <w:jc w:val="center"/>
              <w:rPr>
                <w:rFonts w:ascii="宋体" w:hAnsi="宋体" w:cs="宋体"/>
                <w:kern w:val="0"/>
                <w:sz w:val="21"/>
                <w:szCs w:val="21"/>
              </w:rPr>
            </w:pPr>
            <w:r>
              <w:rPr>
                <w:rFonts w:hint="eastAsia" w:ascii="宋体" w:hAnsi="宋体"/>
                <w:b/>
                <w:bCs/>
                <w:sz w:val="21"/>
                <w:szCs w:val="21"/>
              </w:rPr>
              <w:t>3</w:t>
            </w:r>
          </w:p>
        </w:tc>
        <w:tc>
          <w:tcPr>
            <w:tcW w:w="7088" w:type="dxa"/>
            <w:vAlign w:val="center"/>
          </w:tcPr>
          <w:p>
            <w:pPr>
              <w:adjustRightInd w:val="0"/>
              <w:snapToGrid w:val="0"/>
              <w:spacing w:line="288" w:lineRule="auto"/>
              <w:rPr>
                <w:rFonts w:ascii="宋体" w:hAnsi="宋体"/>
                <w:sz w:val="21"/>
                <w:szCs w:val="21"/>
              </w:rPr>
            </w:pPr>
            <w:r>
              <w:rPr>
                <w:rFonts w:hint="eastAsia" w:ascii="宋体" w:hAnsi="宋体"/>
                <w:sz w:val="21"/>
                <w:szCs w:val="21"/>
              </w:rPr>
              <w:t>【客观分】</w:t>
            </w:r>
          </w:p>
          <w:p>
            <w:pPr>
              <w:adjustRightInd w:val="0"/>
              <w:snapToGrid w:val="0"/>
              <w:spacing w:line="288" w:lineRule="auto"/>
              <w:rPr>
                <w:rFonts w:ascii="宋体" w:hAnsi="宋体" w:cs="宋体"/>
                <w:bCs/>
                <w:kern w:val="0"/>
                <w:sz w:val="21"/>
                <w:szCs w:val="21"/>
              </w:rPr>
            </w:pPr>
            <w:r>
              <w:rPr>
                <w:rFonts w:hint="eastAsia" w:ascii="宋体" w:hAnsi="宋体"/>
                <w:sz w:val="21"/>
                <w:szCs w:val="21"/>
              </w:rPr>
              <w:t>供应商自201</w:t>
            </w:r>
            <w:r>
              <w:rPr>
                <w:rFonts w:ascii="宋体" w:hAnsi="宋体"/>
                <w:sz w:val="21"/>
                <w:szCs w:val="21"/>
              </w:rPr>
              <w:t>9</w:t>
            </w:r>
            <w:r>
              <w:rPr>
                <w:rFonts w:hint="eastAsia" w:ascii="宋体" w:hAnsi="宋体"/>
                <w:sz w:val="21"/>
                <w:szCs w:val="21"/>
              </w:rPr>
              <w:t>年1月1日以来（以合同签订时间为准）同类合同业绩：每提供1份合同业绩得1分，最高得3分。</w:t>
            </w:r>
            <w:r>
              <w:rPr>
                <w:rFonts w:hint="eastAsia" w:ascii="宋体" w:hAnsi="宋体" w:cs="宋体"/>
                <w:bCs/>
                <w:kern w:val="0"/>
                <w:sz w:val="21"/>
                <w:szCs w:val="21"/>
              </w:rPr>
              <w:t>（以提供的合同复印件为准）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pStyle w:val="10"/>
              <w:adjustRightInd w:val="0"/>
              <w:snapToGrid w:val="0"/>
              <w:spacing w:line="288" w:lineRule="auto"/>
              <w:ind w:firstLine="0"/>
              <w:jc w:val="left"/>
              <w:rPr>
                <w:rFonts w:hAnsi="宋体"/>
                <w:spacing w:val="-6"/>
                <w:sz w:val="21"/>
                <w:szCs w:val="21"/>
              </w:rPr>
            </w:pPr>
            <w:r>
              <w:rPr>
                <w:rFonts w:hint="eastAsia" w:hAnsi="宋体"/>
                <w:b/>
                <w:spacing w:val="-6"/>
                <w:sz w:val="21"/>
                <w:szCs w:val="21"/>
              </w:rPr>
              <w:t>技术</w:t>
            </w:r>
            <w:r>
              <w:rPr>
                <w:rFonts w:hAnsi="宋体"/>
                <w:b/>
                <w:spacing w:val="-6"/>
                <w:sz w:val="21"/>
                <w:szCs w:val="21"/>
              </w:rPr>
              <w:t>分</w:t>
            </w:r>
            <w:r>
              <w:rPr>
                <w:rFonts w:hAnsi="宋体"/>
                <w:b/>
                <w:bCs/>
                <w:spacing w:val="-6"/>
                <w:sz w:val="21"/>
                <w:szCs w:val="21"/>
              </w:rPr>
              <w:t>（</w:t>
            </w:r>
            <w:r>
              <w:rPr>
                <w:rFonts w:hint="eastAsia" w:hAnsi="宋体"/>
                <w:b/>
                <w:bCs/>
                <w:spacing w:val="-6"/>
                <w:sz w:val="21"/>
                <w:szCs w:val="21"/>
              </w:rPr>
              <w:t>79</w:t>
            </w:r>
            <w:r>
              <w:rPr>
                <w:rFonts w:hAnsi="宋体"/>
                <w:b/>
                <w:bCs/>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z w:val="21"/>
                <w:szCs w:val="21"/>
              </w:rPr>
              <w:t>响应程度</w:t>
            </w:r>
          </w:p>
        </w:tc>
        <w:tc>
          <w:tcPr>
            <w:tcW w:w="709" w:type="dxa"/>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z w:val="21"/>
                <w:szCs w:val="21"/>
              </w:rPr>
              <w:t>26</w:t>
            </w:r>
          </w:p>
        </w:tc>
        <w:tc>
          <w:tcPr>
            <w:tcW w:w="7088" w:type="dxa"/>
            <w:vAlign w:val="center"/>
          </w:tcPr>
          <w:p>
            <w:pPr>
              <w:adjustRightInd w:val="0"/>
              <w:snapToGrid w:val="0"/>
              <w:spacing w:line="288" w:lineRule="auto"/>
              <w:rPr>
                <w:rFonts w:ascii="宋体" w:hAnsi="宋体"/>
                <w:sz w:val="21"/>
                <w:szCs w:val="21"/>
              </w:rPr>
            </w:pPr>
            <w:r>
              <w:rPr>
                <w:rFonts w:hint="eastAsia" w:ascii="宋体" w:hAnsi="宋体"/>
                <w:sz w:val="21"/>
                <w:szCs w:val="21"/>
              </w:rPr>
              <w:t>【客观分】</w:t>
            </w:r>
          </w:p>
          <w:p>
            <w:pPr>
              <w:adjustRightInd w:val="0"/>
              <w:snapToGrid w:val="0"/>
              <w:spacing w:line="288" w:lineRule="auto"/>
              <w:rPr>
                <w:rFonts w:ascii="宋体" w:hAnsi="宋体"/>
                <w:sz w:val="21"/>
                <w:szCs w:val="21"/>
              </w:rPr>
            </w:pPr>
            <w:r>
              <w:rPr>
                <w:rFonts w:hint="eastAsia" w:ascii="宋体" w:hAnsi="宋体"/>
                <w:sz w:val="21"/>
                <w:szCs w:val="21"/>
              </w:rPr>
              <w:t>不符合（负偏离）服务要求中标注“▲”条款（不可偏离）的响应文件无效，满足或明显优于磋商文件明确的全部服务、技术条款要求的该项得满分；</w:t>
            </w:r>
          </w:p>
          <w:p>
            <w:pPr>
              <w:adjustRightInd w:val="0"/>
              <w:snapToGrid w:val="0"/>
              <w:spacing w:line="288" w:lineRule="auto"/>
              <w:rPr>
                <w:rFonts w:ascii="宋体" w:hAnsi="宋体"/>
                <w:sz w:val="21"/>
                <w:szCs w:val="21"/>
              </w:rPr>
            </w:pPr>
            <w:r>
              <w:rPr>
                <w:rFonts w:hint="eastAsia" w:ascii="宋体" w:hAnsi="宋体"/>
                <w:sz w:val="21"/>
                <w:szCs w:val="21"/>
              </w:rPr>
              <w:t>服务、技术条款低于技术要求（负偏离）的每项扣2分；</w:t>
            </w:r>
          </w:p>
          <w:p>
            <w:pPr>
              <w:adjustRightInd w:val="0"/>
              <w:snapToGrid w:val="0"/>
              <w:spacing w:line="288" w:lineRule="auto"/>
              <w:rPr>
                <w:rFonts w:ascii="宋体" w:hAnsi="宋体"/>
                <w:sz w:val="21"/>
                <w:szCs w:val="21"/>
              </w:rPr>
            </w:pPr>
            <w:r>
              <w:rPr>
                <w:rFonts w:hint="eastAsia" w:ascii="宋体" w:hAnsi="宋体"/>
                <w:sz w:val="21"/>
                <w:szCs w:val="21"/>
              </w:rPr>
              <w:t>负偏离13项及以上的响应文件无效。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服务方案</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【主观分】</w:t>
            </w:r>
            <w:r>
              <w:rPr>
                <w:rFonts w:hint="eastAsia" w:ascii="宋体" w:hAnsi="宋体" w:cs="宋体"/>
                <w:sz w:val="21"/>
                <w:szCs w:val="21"/>
              </w:rPr>
              <w:t>对项目背景和总体需求的理解程度。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sz w:val="21"/>
                <w:szCs w:val="21"/>
              </w:rPr>
              <w:t>【主观分】</w:t>
            </w:r>
            <w:r>
              <w:rPr>
                <w:rFonts w:ascii="宋体" w:hAnsi="宋体" w:cs="宋体"/>
                <w:sz w:val="21"/>
                <w:szCs w:val="21"/>
              </w:rPr>
              <w:t>空调系统</w:t>
            </w:r>
            <w:r>
              <w:rPr>
                <w:rFonts w:hint="eastAsia" w:ascii="宋体" w:hAnsi="宋体" w:cs="宋体"/>
                <w:sz w:val="21"/>
                <w:szCs w:val="21"/>
              </w:rPr>
              <w:t>技术方案的详细完整度、合理可行性。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sz w:val="21"/>
                <w:szCs w:val="21"/>
              </w:rPr>
              <w:t>【主观分】</w:t>
            </w:r>
            <w:r>
              <w:rPr>
                <w:rFonts w:ascii="宋体" w:hAnsi="宋体" w:cs="宋体"/>
                <w:sz w:val="21"/>
                <w:szCs w:val="21"/>
              </w:rPr>
              <w:t>消防</w:t>
            </w:r>
            <w:r>
              <w:rPr>
                <w:rFonts w:hint="eastAsia" w:ascii="宋体" w:hAnsi="宋体" w:cs="宋体"/>
                <w:sz w:val="21"/>
                <w:szCs w:val="21"/>
              </w:rPr>
              <w:t>系统技术方案的详细完整度、合理可行性。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sz w:val="21"/>
                <w:szCs w:val="21"/>
              </w:rPr>
              <w:t>【主观分】</w:t>
            </w:r>
            <w:r>
              <w:rPr>
                <w:rFonts w:ascii="宋体" w:hAnsi="宋体" w:cs="宋体"/>
                <w:sz w:val="21"/>
                <w:szCs w:val="21"/>
              </w:rPr>
              <w:t>安全服务</w:t>
            </w:r>
            <w:r>
              <w:rPr>
                <w:rFonts w:hint="eastAsia" w:ascii="宋体" w:hAnsi="宋体" w:cs="宋体"/>
                <w:sz w:val="21"/>
                <w:szCs w:val="21"/>
              </w:rPr>
              <w:t>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sz w:val="21"/>
                <w:szCs w:val="21"/>
              </w:rPr>
              <w:t>【主观分】</w:t>
            </w:r>
            <w:r>
              <w:rPr>
                <w:rFonts w:ascii="宋体" w:hAnsi="宋体" w:cs="宋体"/>
                <w:sz w:val="21"/>
                <w:szCs w:val="21"/>
              </w:rPr>
              <w:t>监控</w:t>
            </w:r>
            <w:r>
              <w:rPr>
                <w:rFonts w:hint="eastAsia" w:ascii="宋体" w:hAnsi="宋体" w:cs="宋体"/>
                <w:sz w:val="21"/>
                <w:szCs w:val="21"/>
              </w:rPr>
              <w:t>系统技术方案的详细完整度、合理可行性。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sz w:val="21"/>
                <w:szCs w:val="21"/>
              </w:rPr>
              <w:t>【主观分】</w:t>
            </w:r>
            <w:r>
              <w:rPr>
                <w:rFonts w:ascii="宋体" w:hAnsi="宋体" w:cs="宋体"/>
                <w:sz w:val="21"/>
                <w:szCs w:val="21"/>
              </w:rPr>
              <w:t>故障处理</w:t>
            </w:r>
            <w:r>
              <w:rPr>
                <w:rFonts w:hint="eastAsia" w:ascii="宋体" w:hAnsi="宋体" w:cs="宋体"/>
                <w:sz w:val="21"/>
                <w:szCs w:val="21"/>
              </w:rPr>
              <w:t>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bCs/>
                <w:sz w:val="21"/>
                <w:szCs w:val="21"/>
                <w:lang w:eastAsia="zh-Hans"/>
              </w:rPr>
            </w:pPr>
            <w:r>
              <w:rPr>
                <w:rFonts w:hint="eastAsia" w:ascii="宋体" w:hAnsi="宋体" w:cs="宋体"/>
                <w:b/>
                <w:bCs/>
                <w:sz w:val="21"/>
                <w:szCs w:val="21"/>
                <w:lang w:eastAsia="zh-Hans"/>
              </w:rPr>
              <w:t>迁移方案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8</w:t>
            </w:r>
          </w:p>
        </w:tc>
        <w:tc>
          <w:tcPr>
            <w:tcW w:w="708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 w:val="21"/>
                <w:szCs w:val="21"/>
              </w:rPr>
            </w:pPr>
            <w:r>
              <w:rPr>
                <w:rFonts w:hint="eastAsia" w:ascii="宋体" w:hAnsi="宋体"/>
                <w:sz w:val="21"/>
                <w:szCs w:val="21"/>
              </w:rPr>
              <w:t>【主观分】</w:t>
            </w:r>
            <w:r>
              <w:rPr>
                <w:rFonts w:hint="eastAsia" w:ascii="宋体" w:hAnsi="宋体" w:cs="宋体"/>
                <w:sz w:val="21"/>
                <w:szCs w:val="21"/>
              </w:rPr>
              <w:t>鉴于现有设备均托管在原服务提供公司托管机房，除原服务提供公司外，其他供应商须承诺：如果成交，则在承诺期内完成搬迁工作并承担已产生的费用和相关迁移费用。原服务提供公司负责搬迁期间服务的平稳过渡。搬迁过程中不得影响现有系统正常、稳定运行，</w:t>
            </w:r>
            <w:r>
              <w:rPr>
                <w:rFonts w:hint="eastAsia" w:ascii="宋体" w:hAnsi="宋体" w:cs="宋体"/>
                <w:sz w:val="21"/>
                <w:szCs w:val="21"/>
                <w:lang w:eastAsia="zh-Hans"/>
              </w:rPr>
              <w:t>实现</w:t>
            </w:r>
            <w:r>
              <w:rPr>
                <w:rFonts w:hint="eastAsia" w:ascii="宋体" w:hAnsi="宋体" w:cs="宋体"/>
                <w:sz w:val="21"/>
                <w:szCs w:val="21"/>
              </w:rPr>
              <w:t>在线</w:t>
            </w:r>
            <w:r>
              <w:rPr>
                <w:rFonts w:hint="eastAsia" w:ascii="宋体" w:hAnsi="宋体" w:cs="宋体"/>
                <w:sz w:val="21"/>
                <w:szCs w:val="21"/>
                <w:lang w:eastAsia="zh-Hans"/>
              </w:rPr>
              <w:t>业务不中断的方式完成迁移</w:t>
            </w:r>
            <w:r>
              <w:rPr>
                <w:rFonts w:hint="eastAsia" w:ascii="宋体" w:hAnsi="宋体" w:cs="宋体"/>
                <w:sz w:val="21"/>
                <w:szCs w:val="21"/>
              </w:rPr>
              <w:t>。针对以上问题供应商在响应文件中必须做书面承诺（4分），并提供详细、可行的搬迁方案（4分）。</w:t>
            </w:r>
          </w:p>
          <w:p>
            <w:pPr>
              <w:spacing w:line="288" w:lineRule="auto"/>
              <w:rPr>
                <w:rFonts w:ascii="宋体" w:hAnsi="宋体" w:cs="宋体"/>
                <w:sz w:val="21"/>
                <w:szCs w:val="21"/>
              </w:rPr>
            </w:pPr>
            <w:r>
              <w:rPr>
                <w:rFonts w:hint="eastAsia" w:ascii="宋体" w:hAnsi="宋体" w:cs="宋体"/>
                <w:sz w:val="21"/>
                <w:szCs w:val="21"/>
                <w:lang w:eastAsia="zh-Hans"/>
              </w:rPr>
              <w:t>若</w:t>
            </w:r>
            <w:r>
              <w:rPr>
                <w:rFonts w:hint="eastAsia" w:ascii="宋体" w:hAnsi="宋体" w:cs="宋体"/>
                <w:sz w:val="21"/>
                <w:szCs w:val="21"/>
              </w:rPr>
              <w:t>成交供应商</w:t>
            </w:r>
            <w:r>
              <w:rPr>
                <w:rFonts w:hint="eastAsia" w:ascii="宋体" w:hAnsi="宋体" w:cs="宋体"/>
                <w:sz w:val="21"/>
                <w:szCs w:val="21"/>
                <w:lang w:eastAsia="zh-Hans"/>
              </w:rPr>
              <w:t>在</w:t>
            </w:r>
            <w:r>
              <w:rPr>
                <w:rFonts w:hint="eastAsia" w:ascii="宋体" w:hAnsi="宋体" w:cs="宋体"/>
                <w:sz w:val="21"/>
                <w:szCs w:val="21"/>
              </w:rPr>
              <w:t>成交</w:t>
            </w:r>
            <w:r>
              <w:rPr>
                <w:rFonts w:hint="eastAsia" w:ascii="宋体" w:hAnsi="宋体" w:cs="宋体"/>
                <w:sz w:val="21"/>
                <w:szCs w:val="21"/>
                <w:lang w:eastAsia="zh-Hans"/>
              </w:rPr>
              <w:t>日起10天内无法帮助</w:t>
            </w:r>
            <w:r>
              <w:rPr>
                <w:rFonts w:hint="eastAsia" w:ascii="宋体" w:hAnsi="宋体" w:cs="宋体"/>
                <w:sz w:val="21"/>
                <w:szCs w:val="21"/>
              </w:rPr>
              <w:t>采购人</w:t>
            </w:r>
            <w:r>
              <w:rPr>
                <w:rFonts w:hint="eastAsia" w:ascii="宋体" w:hAnsi="宋体" w:cs="宋体"/>
                <w:sz w:val="21"/>
                <w:szCs w:val="21"/>
                <w:lang w:eastAsia="zh-Hans"/>
              </w:rPr>
              <w:t>完成迁移，视为自动放弃，由得分第二名的供应商获得</w:t>
            </w:r>
            <w:r>
              <w:rPr>
                <w:rFonts w:hint="eastAsia" w:ascii="宋体" w:hAnsi="宋体" w:cs="宋体"/>
                <w:sz w:val="21"/>
                <w:szCs w:val="21"/>
              </w:rPr>
              <w:t>成交</w:t>
            </w:r>
            <w:r>
              <w:rPr>
                <w:rFonts w:hint="eastAsia" w:ascii="宋体" w:hAnsi="宋体" w:cs="宋体"/>
                <w:sz w:val="21"/>
                <w:szCs w:val="21"/>
                <w:lang w:eastAsia="zh-Hans"/>
              </w:rPr>
              <w:t>资格。</w:t>
            </w:r>
          </w:p>
          <w:p>
            <w:pPr>
              <w:spacing w:line="288" w:lineRule="auto"/>
              <w:rPr>
                <w:rFonts w:ascii="宋体" w:hAnsi="宋体" w:cs="宋体"/>
                <w:sz w:val="21"/>
                <w:szCs w:val="21"/>
              </w:rPr>
            </w:pPr>
            <w:r>
              <w:rPr>
                <w:rFonts w:hint="eastAsia" w:ascii="宋体" w:hAnsi="宋体" w:cs="宋体"/>
                <w:sz w:val="21"/>
                <w:szCs w:val="21"/>
              </w:rPr>
              <w:t xml:space="preserve">原服务提供公司参与本次投标时，响应文件中必须提供若本次最终采购结果为其他公司成交时承诺做好搬迁各项配合工作的承诺书（4分），根据其承诺内容详细性、全面性（4分）。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b/>
                <w:bCs/>
                <w:spacing w:val="-6"/>
                <w:sz w:val="21"/>
                <w:szCs w:val="21"/>
              </w:rPr>
              <w:t>服务团队</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b/>
                <w:bCs/>
                <w:spacing w:val="-6"/>
                <w:sz w:val="21"/>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【主观分】</w:t>
            </w:r>
            <w:r>
              <w:rPr>
                <w:rFonts w:hint="eastAsia" w:ascii="宋体" w:hAnsi="宋体" w:cs="宋体"/>
                <w:sz w:val="21"/>
                <w:szCs w:val="21"/>
              </w:rPr>
              <w:t>拟投入人员的专业素质、技术能力、同类项目实施经验情况（响应文件中需提供2022年6月（含）以后任意一月社保缴纳的证明材料，不提供不得分）。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b/>
                <w:bCs/>
                <w:spacing w:val="-6"/>
                <w:sz w:val="21"/>
                <w:szCs w:val="21"/>
              </w:rPr>
              <w:t>项目实施方案</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b/>
                <w:bCs/>
                <w:spacing w:val="-6"/>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【主观分】</w:t>
            </w:r>
            <w:r>
              <w:rPr>
                <w:rFonts w:hint="eastAsia" w:ascii="宋体" w:hAnsi="宋体" w:cs="宋体"/>
                <w:spacing w:val="-6"/>
                <w:sz w:val="21"/>
                <w:szCs w:val="21"/>
              </w:rPr>
              <w:t>项目实施计划详细完整程度，符合项目进度要求。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b/>
                <w:bCs/>
                <w:spacing w:val="-6"/>
                <w:sz w:val="21"/>
                <w:szCs w:val="21"/>
              </w:rPr>
              <w:t>安装调试验收</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b/>
                <w:bCs/>
                <w:spacing w:val="-6"/>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Cs/>
                <w:spacing w:val="-6"/>
                <w:sz w:val="21"/>
                <w:szCs w:val="21"/>
              </w:rPr>
            </w:pPr>
            <w:r>
              <w:rPr>
                <w:rFonts w:hint="eastAsia" w:ascii="宋体" w:hAnsi="宋体"/>
                <w:sz w:val="21"/>
                <w:szCs w:val="21"/>
              </w:rPr>
              <w:t>【主观分】</w:t>
            </w:r>
            <w:r>
              <w:rPr>
                <w:rFonts w:hint="eastAsia" w:ascii="宋体" w:hAnsi="宋体" w:cs="宋体"/>
                <w:spacing w:val="-6"/>
                <w:sz w:val="21"/>
                <w:szCs w:val="21"/>
              </w:rPr>
              <w:t>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b/>
                <w:bCs/>
                <w:spacing w:val="-6"/>
                <w:sz w:val="21"/>
                <w:szCs w:val="21"/>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b/>
                <w:bCs/>
                <w:spacing w:val="-6"/>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Cs/>
                <w:spacing w:val="-6"/>
                <w:sz w:val="21"/>
                <w:szCs w:val="21"/>
              </w:rPr>
            </w:pPr>
            <w:r>
              <w:rPr>
                <w:rFonts w:hint="eastAsia" w:ascii="宋体" w:hAnsi="宋体"/>
                <w:sz w:val="21"/>
                <w:szCs w:val="21"/>
              </w:rPr>
              <w:t>【主观分】</w:t>
            </w:r>
            <w:r>
              <w:rPr>
                <w:rFonts w:hint="eastAsia" w:ascii="宋体" w:hAnsi="宋体" w:cs="宋体"/>
                <w:spacing w:val="-6"/>
                <w:sz w:val="21"/>
                <w:szCs w:val="21"/>
              </w:rPr>
              <w:t>售后服务方案、售后服务承诺的可行性及服务承诺落实的保障措施。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技术服务</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b/>
                <w:bCs/>
                <w:spacing w:val="-6"/>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Cs/>
                <w:spacing w:val="-6"/>
                <w:sz w:val="21"/>
                <w:szCs w:val="21"/>
              </w:rPr>
            </w:pPr>
            <w:r>
              <w:rPr>
                <w:rFonts w:hint="eastAsia" w:ascii="宋体" w:hAnsi="宋体"/>
                <w:sz w:val="21"/>
                <w:szCs w:val="21"/>
              </w:rPr>
              <w:t>【主观分】</w:t>
            </w:r>
            <w:r>
              <w:rPr>
                <w:rFonts w:hint="eastAsia" w:ascii="宋体" w:hAnsi="宋体" w:cs="宋体"/>
                <w:spacing w:val="-6"/>
                <w:sz w:val="21"/>
                <w:szCs w:val="21"/>
              </w:rPr>
              <w:t>服务力量和服务保障，实施及针对性。</w:t>
            </w:r>
          </w:p>
        </w:tc>
      </w:tr>
    </w:tbl>
    <w:p>
      <w:pPr>
        <w:adjustRightInd w:val="0"/>
        <w:snapToGrid w:val="0"/>
        <w:spacing w:line="288" w:lineRule="auto"/>
        <w:rPr>
          <w:rFonts w:ascii="宋体" w:hAnsi="宋体"/>
          <w:b/>
          <w:bCs/>
          <w:spacing w:val="-6"/>
          <w:sz w:val="21"/>
          <w:szCs w:val="21"/>
        </w:rPr>
      </w:pPr>
      <w:bookmarkStart w:id="50" w:name="_Hlk81817387"/>
      <w:r>
        <w:rPr>
          <w:rFonts w:hint="eastAsia" w:ascii="宋体" w:hAnsi="宋体"/>
          <w:b/>
          <w:bCs/>
          <w:spacing w:val="-6"/>
          <w:sz w:val="21"/>
          <w:szCs w:val="21"/>
        </w:rPr>
        <w:t>说明：本项目专门面向中小企业采购，不再执行价格评审优惠的扶持政策。</w:t>
      </w:r>
    </w:p>
    <w:bookmarkEnd w:id="50"/>
    <w:p>
      <w:pPr>
        <w:adjustRightInd w:val="0"/>
        <w:snapToGrid w:val="0"/>
        <w:spacing w:line="288" w:lineRule="auto"/>
        <w:jc w:val="center"/>
        <w:outlineLvl w:val="0"/>
        <w:rPr>
          <w:rFonts w:ascii="宋体" w:hAnsi="宋体"/>
          <w:b/>
          <w:bCs/>
          <w:spacing w:val="-6"/>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pPr>
        <w:spacing w:line="288" w:lineRule="auto"/>
        <w:rPr>
          <w:rFonts w:ascii="宋体" w:hAnsi="宋体"/>
          <w:spacing w:val="-6"/>
          <w:sz w:val="21"/>
          <w:szCs w:val="21"/>
        </w:rPr>
      </w:pPr>
      <w:r>
        <w:rPr>
          <w:rFonts w:hint="eastAsia" w:ascii="宋体" w:hAnsi="宋体"/>
          <w:spacing w:val="-6"/>
          <w:sz w:val="21"/>
          <w:szCs w:val="21"/>
        </w:rPr>
        <w:t>项目编号：</w:t>
      </w:r>
      <w:r>
        <w:rPr>
          <w:rFonts w:hint="eastAsia" w:ascii="宋体" w:hAnsi="宋体"/>
          <w:spacing w:val="-6"/>
          <w:sz w:val="21"/>
          <w:szCs w:val="21"/>
        </w:rPr>
        <w:tab/>
      </w:r>
    </w:p>
    <w:p>
      <w:pPr>
        <w:spacing w:line="288" w:lineRule="auto"/>
        <w:rPr>
          <w:rFonts w:ascii="宋体" w:hAnsi="宋体"/>
          <w:spacing w:val="-6"/>
          <w:sz w:val="21"/>
          <w:szCs w:val="21"/>
        </w:rPr>
      </w:pPr>
      <w:r>
        <w:rPr>
          <w:rFonts w:hint="eastAsia" w:ascii="宋体" w:hAnsi="宋体"/>
          <w:spacing w:val="-6"/>
          <w:sz w:val="21"/>
          <w:szCs w:val="21"/>
        </w:rPr>
        <w:t>项目名称：</w:t>
      </w:r>
      <w:r>
        <w:rPr>
          <w:rFonts w:hint="eastAsia" w:ascii="宋体" w:hAnsi="宋体"/>
          <w:spacing w:val="-6"/>
          <w:sz w:val="21"/>
          <w:szCs w:val="21"/>
        </w:rPr>
        <w:tab/>
      </w:r>
      <w:r>
        <w:rPr>
          <w:rFonts w:hint="eastAsia" w:ascii="宋体" w:hAnsi="宋体"/>
          <w:spacing w:val="-6"/>
          <w:sz w:val="21"/>
          <w:szCs w:val="21"/>
        </w:rPr>
        <w:t xml:space="preserve">                          </w:t>
      </w:r>
    </w:p>
    <w:p>
      <w:pPr>
        <w:spacing w:line="288" w:lineRule="auto"/>
        <w:rPr>
          <w:rFonts w:ascii="宋体" w:hAnsi="宋体"/>
          <w:spacing w:val="-6"/>
          <w:sz w:val="21"/>
          <w:szCs w:val="21"/>
        </w:rPr>
      </w:pPr>
      <w:r>
        <w:rPr>
          <w:rFonts w:hint="eastAsia" w:ascii="宋体" w:hAnsi="宋体"/>
          <w:spacing w:val="-6"/>
          <w:sz w:val="21"/>
          <w:szCs w:val="21"/>
        </w:rPr>
        <w:t xml:space="preserve">需方：                                      </w:t>
      </w:r>
    </w:p>
    <w:p>
      <w:pPr>
        <w:spacing w:line="288" w:lineRule="auto"/>
        <w:rPr>
          <w:rFonts w:ascii="宋体" w:hAnsi="宋体"/>
          <w:spacing w:val="-6"/>
          <w:sz w:val="21"/>
          <w:szCs w:val="21"/>
        </w:rPr>
      </w:pPr>
      <w:r>
        <w:rPr>
          <w:rFonts w:hint="eastAsia" w:ascii="宋体" w:hAnsi="宋体"/>
          <w:spacing w:val="-6"/>
          <w:sz w:val="21"/>
          <w:szCs w:val="21"/>
        </w:rPr>
        <w:t xml:space="preserve">供方：                                       </w:t>
      </w:r>
    </w:p>
    <w:p>
      <w:pPr>
        <w:spacing w:line="288" w:lineRule="auto"/>
        <w:rPr>
          <w:rFonts w:ascii="宋体" w:hAnsi="宋体" w:cs="宋体"/>
          <w:b/>
          <w:bCs/>
          <w:spacing w:val="-6"/>
          <w:sz w:val="13"/>
          <w:szCs w:val="13"/>
        </w:rPr>
      </w:pPr>
      <w:r>
        <w:rPr>
          <w:rFonts w:hint="eastAsia" w:ascii="宋体" w:hAnsi="宋体" w:cs="宋体"/>
          <w:b/>
          <w:bCs/>
          <w:spacing w:val="-6"/>
          <w:sz w:val="13"/>
          <w:szCs w:val="13"/>
        </w:rPr>
        <w:t>---需方签字人在审核技术协议与采购文件、供方的响应文件及补充承诺相符后，发电子稿给采购机构确认。以下由采购机构填写---</w:t>
      </w:r>
    </w:p>
    <w:p>
      <w:pPr>
        <w:spacing w:line="288" w:lineRule="auto"/>
        <w:rPr>
          <w:rFonts w:ascii="宋体" w:hAnsi="宋体"/>
          <w:spacing w:val="-6"/>
          <w:sz w:val="15"/>
          <w:szCs w:val="15"/>
        </w:rPr>
      </w:pPr>
      <w:r>
        <w:rPr>
          <w:rFonts w:hint="eastAsia" w:ascii="宋体" w:hAnsi="宋体"/>
          <w:spacing w:val="-6"/>
          <w:sz w:val="15"/>
          <w:szCs w:val="15"/>
        </w:rPr>
        <w:t>采购单号：                                                            档案编号：</w:t>
      </w:r>
    </w:p>
    <w:p>
      <w:pPr>
        <w:spacing w:line="288" w:lineRule="auto"/>
        <w:rPr>
          <w:rFonts w:ascii="宋体" w:hAnsi="宋体"/>
          <w:spacing w:val="-6"/>
          <w:sz w:val="15"/>
          <w:szCs w:val="15"/>
        </w:rPr>
      </w:pPr>
      <w:r>
        <w:rPr>
          <w:rFonts w:hint="eastAsia" w:ascii="宋体" w:hAnsi="宋体" w:cs="宋体"/>
          <w:spacing w:val="-6"/>
          <w:sz w:val="21"/>
          <w:szCs w:val="21"/>
        </w:rPr>
        <w:t>采购机构：</w:t>
      </w:r>
      <w:r>
        <w:rPr>
          <w:rFonts w:hint="eastAsia" w:ascii="宋体" w:hAnsi="宋体"/>
          <w:spacing w:val="-6"/>
          <w:sz w:val="21"/>
          <w:szCs w:val="21"/>
        </w:rPr>
        <w:sym w:font="Wingdings 2" w:char="00A3"/>
      </w:r>
      <w:r>
        <w:rPr>
          <w:rFonts w:hint="eastAsia" w:ascii="宋体" w:hAnsi="宋体"/>
          <w:spacing w:val="-6"/>
          <w:sz w:val="15"/>
          <w:szCs w:val="15"/>
        </w:rPr>
        <w:t xml:space="preserve">浙江大学采购中心   </w:t>
      </w:r>
      <w:r>
        <w:rPr>
          <w:rFonts w:hint="eastAsia" w:ascii="宋体" w:hAnsi="宋体"/>
          <w:spacing w:val="-6"/>
          <w:sz w:val="21"/>
          <w:szCs w:val="21"/>
        </w:rPr>
        <w:sym w:font="Wingdings 2" w:char="00A3"/>
      </w:r>
      <w:r>
        <w:rPr>
          <w:rFonts w:hint="eastAsia" w:ascii="宋体" w:hAnsi="宋体"/>
          <w:spacing w:val="-6"/>
          <w:sz w:val="15"/>
          <w:szCs w:val="15"/>
        </w:rPr>
        <w:t xml:space="preserve">浙江求是招标代理有限公司   </w:t>
      </w:r>
      <w:r>
        <w:rPr>
          <w:rFonts w:hint="eastAsia" w:ascii="宋体" w:hAnsi="宋体"/>
          <w:spacing w:val="-6"/>
          <w:sz w:val="21"/>
          <w:szCs w:val="21"/>
        </w:rPr>
        <w:sym w:font="Wingdings 2" w:char="00A3"/>
      </w:r>
      <w:r>
        <w:rPr>
          <w:rFonts w:hint="eastAsia" w:ascii="宋体" w:hAnsi="宋体"/>
          <w:spacing w:val="-6"/>
          <w:sz w:val="15"/>
          <w:szCs w:val="15"/>
        </w:rPr>
        <w:t xml:space="preserve">浙江五石工程咨询有限公司   </w:t>
      </w:r>
      <w:r>
        <w:rPr>
          <w:rFonts w:hint="eastAsia" w:ascii="宋体" w:hAnsi="宋体"/>
          <w:spacing w:val="-6"/>
          <w:sz w:val="21"/>
          <w:szCs w:val="21"/>
        </w:rPr>
        <w:sym w:font="Wingdings 2" w:char="00A3"/>
      </w:r>
      <w:r>
        <w:rPr>
          <w:rFonts w:hint="eastAsia" w:ascii="宋体" w:hAnsi="宋体"/>
          <w:spacing w:val="-6"/>
          <w:sz w:val="15"/>
          <w:szCs w:val="15"/>
        </w:rPr>
        <w:t>浙江国际招(投)标公司</w:t>
      </w:r>
    </w:p>
    <w:p>
      <w:pPr>
        <w:spacing w:line="288" w:lineRule="auto"/>
        <w:rPr>
          <w:rFonts w:ascii="宋体" w:hAnsi="宋体"/>
          <w:bCs/>
          <w:color w:val="FF0000"/>
          <w:spacing w:val="-6"/>
          <w:sz w:val="21"/>
          <w:szCs w:val="21"/>
        </w:rPr>
      </w:pPr>
    </w:p>
    <w:p>
      <w:pPr>
        <w:spacing w:line="288" w:lineRule="auto"/>
        <w:rPr>
          <w:rFonts w:ascii="Calibri" w:hAnsi="Calibri"/>
          <w:b/>
          <w:sz w:val="21"/>
          <w:szCs w:val="21"/>
        </w:rPr>
      </w:pPr>
      <w:r>
        <w:rPr>
          <w:rFonts w:hint="eastAsia" w:ascii="Calibri" w:hAnsi="Calibri"/>
          <w:b/>
          <w:sz w:val="21"/>
          <w:szCs w:val="21"/>
        </w:rPr>
        <w:t>一、配置清单及合同价格</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915"/>
        <w:gridCol w:w="1886"/>
        <w:gridCol w:w="766"/>
        <w:gridCol w:w="766"/>
        <w:gridCol w:w="1342"/>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398" w:type="pct"/>
            <w:vAlign w:val="center"/>
          </w:tcPr>
          <w:p>
            <w:pPr>
              <w:jc w:val="center"/>
              <w:rPr>
                <w:rFonts w:ascii="宋体" w:hAnsi="宋体"/>
                <w:spacing w:val="-6"/>
                <w:sz w:val="21"/>
                <w:szCs w:val="21"/>
              </w:rPr>
            </w:pPr>
            <w:r>
              <w:rPr>
                <w:rFonts w:hint="eastAsia" w:ascii="宋体" w:hAnsi="宋体"/>
                <w:spacing w:val="-6"/>
                <w:sz w:val="21"/>
                <w:szCs w:val="21"/>
              </w:rPr>
              <w:t>序号</w:t>
            </w:r>
          </w:p>
        </w:tc>
        <w:tc>
          <w:tcPr>
            <w:tcW w:w="995" w:type="pct"/>
            <w:vAlign w:val="center"/>
          </w:tcPr>
          <w:p>
            <w:pPr>
              <w:jc w:val="center"/>
              <w:rPr>
                <w:rFonts w:ascii="宋体" w:hAnsi="宋体"/>
                <w:spacing w:val="-6"/>
                <w:sz w:val="21"/>
                <w:szCs w:val="21"/>
              </w:rPr>
            </w:pPr>
            <w:r>
              <w:rPr>
                <w:rFonts w:hint="eastAsia" w:ascii="宋体" w:hAnsi="宋体"/>
                <w:spacing w:val="-6"/>
                <w:sz w:val="21"/>
                <w:szCs w:val="21"/>
              </w:rPr>
              <w:t>项目名称</w:t>
            </w:r>
          </w:p>
        </w:tc>
        <w:tc>
          <w:tcPr>
            <w:tcW w:w="980" w:type="pct"/>
            <w:vAlign w:val="center"/>
          </w:tcPr>
          <w:p>
            <w:pPr>
              <w:jc w:val="center"/>
              <w:rPr>
                <w:rFonts w:ascii="宋体" w:hAnsi="宋体"/>
                <w:spacing w:val="-6"/>
                <w:sz w:val="21"/>
                <w:szCs w:val="21"/>
              </w:rPr>
            </w:pPr>
          </w:p>
        </w:tc>
        <w:tc>
          <w:tcPr>
            <w:tcW w:w="398" w:type="pct"/>
            <w:vAlign w:val="center"/>
          </w:tcPr>
          <w:p>
            <w:pPr>
              <w:jc w:val="center"/>
              <w:rPr>
                <w:rFonts w:ascii="宋体" w:hAnsi="宋体"/>
                <w:spacing w:val="-6"/>
                <w:sz w:val="21"/>
                <w:szCs w:val="21"/>
              </w:rPr>
            </w:pPr>
            <w:r>
              <w:rPr>
                <w:rFonts w:hint="eastAsia" w:ascii="宋体" w:hAnsi="宋体"/>
                <w:spacing w:val="-6"/>
                <w:sz w:val="21"/>
                <w:szCs w:val="21"/>
              </w:rPr>
              <w:t>数量</w:t>
            </w:r>
          </w:p>
        </w:tc>
        <w:tc>
          <w:tcPr>
            <w:tcW w:w="398" w:type="pct"/>
            <w:vAlign w:val="center"/>
          </w:tcPr>
          <w:p>
            <w:pPr>
              <w:jc w:val="center"/>
              <w:rPr>
                <w:rFonts w:ascii="宋体" w:hAnsi="宋体"/>
                <w:spacing w:val="-6"/>
                <w:sz w:val="21"/>
                <w:szCs w:val="21"/>
              </w:rPr>
            </w:pPr>
            <w:r>
              <w:rPr>
                <w:rFonts w:hint="eastAsia" w:ascii="宋体" w:hAnsi="宋体"/>
                <w:spacing w:val="-6"/>
                <w:sz w:val="21"/>
                <w:szCs w:val="21"/>
              </w:rPr>
              <w:t>单位</w:t>
            </w:r>
          </w:p>
        </w:tc>
        <w:tc>
          <w:tcPr>
            <w:tcW w:w="697" w:type="pct"/>
            <w:vAlign w:val="center"/>
          </w:tcPr>
          <w:p>
            <w:pPr>
              <w:jc w:val="center"/>
              <w:rPr>
                <w:rFonts w:ascii="宋体" w:hAnsi="宋体"/>
                <w:spacing w:val="-6"/>
                <w:sz w:val="21"/>
                <w:szCs w:val="21"/>
              </w:rPr>
            </w:pPr>
            <w:r>
              <w:rPr>
                <w:rFonts w:hint="eastAsia" w:ascii="宋体" w:hAnsi="宋体"/>
                <w:spacing w:val="-6"/>
                <w:sz w:val="21"/>
                <w:szCs w:val="21"/>
              </w:rPr>
              <w:t>单价</w:t>
            </w:r>
          </w:p>
        </w:tc>
        <w:tc>
          <w:tcPr>
            <w:tcW w:w="1131" w:type="pct"/>
            <w:vAlign w:val="center"/>
          </w:tcPr>
          <w:p>
            <w:pPr>
              <w:jc w:val="center"/>
              <w:rPr>
                <w:rFonts w:ascii="宋体" w:hAnsi="宋体"/>
                <w:spacing w:val="-6"/>
                <w:sz w:val="21"/>
                <w:szCs w:val="21"/>
              </w:rPr>
            </w:pPr>
            <w:r>
              <w:rPr>
                <w:rFonts w:hint="eastAsia" w:ascii="宋体" w:hAnsi="宋体"/>
                <w:spacing w:val="-6"/>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398" w:type="pct"/>
            <w:vAlign w:val="center"/>
          </w:tcPr>
          <w:p>
            <w:pPr>
              <w:jc w:val="center"/>
              <w:rPr>
                <w:rFonts w:ascii="宋体" w:hAnsi="宋体"/>
                <w:spacing w:val="-6"/>
                <w:sz w:val="21"/>
                <w:szCs w:val="21"/>
              </w:rPr>
            </w:pPr>
            <w:r>
              <w:rPr>
                <w:rFonts w:hint="eastAsia" w:ascii="宋体" w:hAnsi="宋体"/>
                <w:spacing w:val="-6"/>
                <w:sz w:val="21"/>
                <w:szCs w:val="21"/>
              </w:rPr>
              <w:t>1</w:t>
            </w:r>
          </w:p>
        </w:tc>
        <w:tc>
          <w:tcPr>
            <w:tcW w:w="995" w:type="pct"/>
            <w:vAlign w:val="center"/>
          </w:tcPr>
          <w:p>
            <w:pPr>
              <w:ind w:left="238" w:leftChars="85"/>
              <w:jc w:val="center"/>
              <w:rPr>
                <w:rFonts w:ascii="宋体" w:hAnsi="宋体"/>
                <w:spacing w:val="-6"/>
                <w:sz w:val="21"/>
                <w:szCs w:val="21"/>
              </w:rPr>
            </w:pPr>
          </w:p>
        </w:tc>
        <w:tc>
          <w:tcPr>
            <w:tcW w:w="980" w:type="pct"/>
            <w:vAlign w:val="center"/>
          </w:tcPr>
          <w:p>
            <w:pPr>
              <w:jc w:val="center"/>
              <w:rPr>
                <w:rFonts w:ascii="宋体" w:hAnsi="宋体"/>
                <w:spacing w:val="-6"/>
                <w:sz w:val="21"/>
                <w:szCs w:val="21"/>
              </w:rPr>
            </w:pPr>
          </w:p>
        </w:tc>
        <w:tc>
          <w:tcPr>
            <w:tcW w:w="398" w:type="pct"/>
            <w:vAlign w:val="center"/>
          </w:tcPr>
          <w:p>
            <w:pPr>
              <w:jc w:val="center"/>
              <w:rPr>
                <w:rFonts w:ascii="宋体" w:hAnsi="宋体"/>
                <w:spacing w:val="-6"/>
                <w:sz w:val="21"/>
                <w:szCs w:val="21"/>
              </w:rPr>
            </w:pPr>
          </w:p>
        </w:tc>
        <w:tc>
          <w:tcPr>
            <w:tcW w:w="398" w:type="pct"/>
            <w:vAlign w:val="center"/>
          </w:tcPr>
          <w:p>
            <w:pPr>
              <w:jc w:val="center"/>
              <w:rPr>
                <w:rFonts w:ascii="宋体" w:hAnsi="宋体"/>
                <w:spacing w:val="-6"/>
                <w:sz w:val="21"/>
                <w:szCs w:val="21"/>
              </w:rPr>
            </w:pPr>
          </w:p>
        </w:tc>
        <w:tc>
          <w:tcPr>
            <w:tcW w:w="697" w:type="pct"/>
            <w:vAlign w:val="center"/>
          </w:tcPr>
          <w:p>
            <w:pPr>
              <w:jc w:val="center"/>
              <w:rPr>
                <w:rFonts w:ascii="宋体" w:hAnsi="宋体"/>
                <w:spacing w:val="-6"/>
                <w:sz w:val="21"/>
                <w:szCs w:val="21"/>
              </w:rPr>
            </w:pPr>
          </w:p>
        </w:tc>
        <w:tc>
          <w:tcPr>
            <w:tcW w:w="1131" w:type="pct"/>
            <w:vAlign w:val="center"/>
          </w:tcPr>
          <w:p>
            <w:pP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5000" w:type="pct"/>
            <w:gridSpan w:val="7"/>
            <w:vAlign w:val="center"/>
          </w:tcPr>
          <w:p>
            <w:pPr>
              <w:rPr>
                <w:rFonts w:ascii="宋体" w:hAnsi="宋体"/>
                <w:spacing w:val="-6"/>
                <w:sz w:val="21"/>
                <w:szCs w:val="21"/>
              </w:rPr>
            </w:pPr>
            <w:r>
              <w:rPr>
                <w:rFonts w:hint="eastAsia" w:ascii="宋体" w:hAnsi="宋体"/>
                <w:spacing w:val="-6"/>
                <w:sz w:val="21"/>
                <w:szCs w:val="21"/>
              </w:rPr>
              <w:t>合同总价（人民币）：</w:t>
            </w:r>
          </w:p>
        </w:tc>
      </w:tr>
    </w:tbl>
    <w:p>
      <w:pPr>
        <w:spacing w:line="288" w:lineRule="auto"/>
        <w:rPr>
          <w:rFonts w:ascii="宋体" w:hAnsi="宋体"/>
          <w:b/>
          <w:bCs/>
          <w:spacing w:val="-6"/>
          <w:sz w:val="21"/>
          <w:szCs w:val="21"/>
        </w:rPr>
      </w:pPr>
      <w:r>
        <w:rPr>
          <w:rFonts w:hint="eastAsia" w:ascii="宋体" w:hAnsi="宋体"/>
          <w:b/>
          <w:bCs/>
          <w:spacing w:val="-6"/>
          <w:sz w:val="21"/>
          <w:szCs w:val="21"/>
        </w:rPr>
        <w:t>第二条：服务期限及付款方式</w:t>
      </w:r>
    </w:p>
    <w:p>
      <w:pPr>
        <w:spacing w:line="288" w:lineRule="auto"/>
        <w:ind w:firstLine="396" w:firstLineChars="200"/>
        <w:rPr>
          <w:rFonts w:ascii="宋体" w:hAnsi="宋体"/>
          <w:spacing w:val="-6"/>
          <w:sz w:val="21"/>
          <w:szCs w:val="21"/>
        </w:rPr>
      </w:pPr>
      <w:r>
        <w:rPr>
          <w:rFonts w:hint="eastAsia" w:ascii="宋体" w:hAnsi="宋体"/>
          <w:spacing w:val="-6"/>
          <w:sz w:val="21"/>
          <w:szCs w:val="21"/>
        </w:rPr>
        <w:t>服务期限：</w:t>
      </w:r>
      <w:r>
        <w:rPr>
          <w:rFonts w:hint="eastAsia" w:ascii="宋体" w:hAnsi="宋体"/>
          <w:spacing w:val="-6"/>
          <w:sz w:val="21"/>
          <w:szCs w:val="21"/>
          <w:u w:val="single"/>
        </w:rPr>
        <w:t xml:space="preserve">                   </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服务地点：</w:t>
      </w:r>
      <w:r>
        <w:rPr>
          <w:rFonts w:hint="eastAsia" w:ascii="宋体" w:hAnsi="宋体"/>
          <w:spacing w:val="-6"/>
          <w:sz w:val="21"/>
          <w:szCs w:val="21"/>
          <w:u w:val="single"/>
        </w:rPr>
        <w:t xml:space="preserve">                   </w:t>
      </w:r>
      <w:r>
        <w:rPr>
          <w:rFonts w:hint="eastAsia" w:ascii="宋体" w:hAnsi="宋体"/>
          <w:spacing w:val="-6"/>
          <w:sz w:val="21"/>
          <w:szCs w:val="21"/>
        </w:rPr>
        <w:t>。</w:t>
      </w:r>
    </w:p>
    <w:p>
      <w:pPr>
        <w:spacing w:line="288" w:lineRule="auto"/>
        <w:ind w:firstLine="396" w:firstLineChars="200"/>
        <w:rPr>
          <w:rFonts w:ascii="宋体" w:hAnsi="宋体"/>
          <w:spacing w:val="-6"/>
          <w:sz w:val="21"/>
          <w:szCs w:val="21"/>
          <w:u w:val="single"/>
        </w:rPr>
      </w:pPr>
      <w:r>
        <w:rPr>
          <w:rFonts w:hint="eastAsia" w:ascii="宋体" w:hAnsi="宋体"/>
          <w:spacing w:val="-6"/>
          <w:sz w:val="21"/>
          <w:szCs w:val="21"/>
        </w:rPr>
        <w:t>付款方式：</w:t>
      </w:r>
      <w:r>
        <w:rPr>
          <w:rFonts w:hint="eastAsia" w:ascii="宋体" w:hAnsi="宋体"/>
          <w:spacing w:val="-6"/>
          <w:sz w:val="21"/>
          <w:szCs w:val="21"/>
          <w:u w:val="single"/>
        </w:rPr>
        <w:t xml:space="preserve">                   。</w:t>
      </w:r>
    </w:p>
    <w:p>
      <w:pPr>
        <w:spacing w:line="288" w:lineRule="auto"/>
        <w:rPr>
          <w:rFonts w:ascii="宋体" w:hAnsi="宋体"/>
          <w:b/>
          <w:bCs/>
          <w:spacing w:val="-6"/>
          <w:sz w:val="21"/>
          <w:szCs w:val="21"/>
        </w:rPr>
      </w:pPr>
      <w:r>
        <w:rPr>
          <w:rFonts w:hint="eastAsia" w:ascii="宋体" w:hAnsi="宋体"/>
          <w:b/>
          <w:bCs/>
          <w:spacing w:val="-6"/>
          <w:sz w:val="21"/>
          <w:szCs w:val="21"/>
        </w:rPr>
        <w:t>第三条  技术支持服务内容、范围和要求</w:t>
      </w:r>
    </w:p>
    <w:p>
      <w:pPr>
        <w:spacing w:line="288" w:lineRule="auto"/>
        <w:ind w:firstLine="396" w:firstLineChars="200"/>
        <w:rPr>
          <w:rFonts w:ascii="宋体" w:hAnsi="宋体"/>
          <w:spacing w:val="-6"/>
          <w:sz w:val="21"/>
          <w:szCs w:val="21"/>
        </w:rPr>
      </w:pPr>
    </w:p>
    <w:p>
      <w:pPr>
        <w:pStyle w:val="60"/>
        <w:spacing w:line="288" w:lineRule="auto"/>
      </w:pPr>
    </w:p>
    <w:p>
      <w:pPr>
        <w:spacing w:line="288" w:lineRule="auto"/>
        <w:rPr>
          <w:rFonts w:ascii="宋体" w:hAnsi="宋体"/>
          <w:b/>
          <w:bCs/>
          <w:spacing w:val="-6"/>
          <w:sz w:val="21"/>
          <w:szCs w:val="21"/>
        </w:rPr>
      </w:pPr>
      <w:r>
        <w:rPr>
          <w:rFonts w:hint="eastAsia" w:ascii="宋体" w:hAnsi="宋体"/>
          <w:b/>
          <w:bCs/>
          <w:spacing w:val="-6"/>
          <w:sz w:val="21"/>
          <w:szCs w:val="21"/>
        </w:rPr>
        <w:t>四、质量考核及服务承诺</w:t>
      </w:r>
    </w:p>
    <w:p>
      <w:pPr>
        <w:pStyle w:val="60"/>
        <w:spacing w:line="288" w:lineRule="auto"/>
      </w:pPr>
    </w:p>
    <w:p>
      <w:pPr>
        <w:pStyle w:val="77"/>
        <w:spacing w:line="288" w:lineRule="auto"/>
      </w:pPr>
    </w:p>
    <w:p>
      <w:pPr>
        <w:spacing w:line="288" w:lineRule="auto"/>
        <w:rPr>
          <w:rFonts w:ascii="宋体" w:hAnsi="宋体"/>
          <w:b/>
          <w:bCs/>
          <w:spacing w:val="-6"/>
          <w:sz w:val="21"/>
          <w:szCs w:val="21"/>
        </w:rPr>
      </w:pPr>
      <w:r>
        <w:rPr>
          <w:rFonts w:hint="eastAsia" w:ascii="宋体" w:hAnsi="宋体"/>
          <w:b/>
          <w:bCs/>
          <w:spacing w:val="-6"/>
          <w:sz w:val="21"/>
          <w:szCs w:val="21"/>
        </w:rPr>
        <w:t>五、保密条款</w:t>
      </w:r>
    </w:p>
    <w:p>
      <w:pPr>
        <w:spacing w:line="288" w:lineRule="auto"/>
        <w:ind w:firstLine="396" w:firstLineChars="200"/>
        <w:rPr>
          <w:rFonts w:ascii="宋体" w:hAnsi="宋体"/>
          <w:spacing w:val="-6"/>
          <w:sz w:val="21"/>
          <w:szCs w:val="21"/>
        </w:rPr>
      </w:pPr>
      <w:r>
        <w:rPr>
          <w:rFonts w:hint="eastAsia" w:ascii="宋体" w:hAnsi="宋体"/>
          <w:spacing w:val="-6"/>
          <w:sz w:val="21"/>
          <w:szCs w:val="21"/>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pacing w:line="288" w:lineRule="auto"/>
        <w:rPr>
          <w:rFonts w:ascii="宋体" w:hAnsi="宋体"/>
          <w:b/>
          <w:bCs/>
          <w:spacing w:val="-6"/>
          <w:sz w:val="21"/>
          <w:szCs w:val="21"/>
        </w:rPr>
      </w:pPr>
      <w:r>
        <w:rPr>
          <w:rFonts w:hint="eastAsia" w:ascii="宋体" w:hAnsi="宋体"/>
          <w:b/>
          <w:bCs/>
          <w:spacing w:val="-6"/>
          <w:sz w:val="21"/>
          <w:szCs w:val="21"/>
        </w:rPr>
        <w:t>六、其他约定</w:t>
      </w:r>
    </w:p>
    <w:p>
      <w:pPr>
        <w:spacing w:line="288" w:lineRule="auto"/>
        <w:ind w:firstLine="396" w:firstLineChars="200"/>
        <w:rPr>
          <w:rFonts w:ascii="宋体" w:hAnsi="宋体"/>
          <w:spacing w:val="-6"/>
          <w:sz w:val="21"/>
          <w:szCs w:val="21"/>
        </w:rPr>
      </w:pPr>
      <w:r>
        <w:rPr>
          <w:rFonts w:hint="eastAsia" w:ascii="宋体" w:hAnsi="宋体"/>
          <w:spacing w:val="-6"/>
          <w:sz w:val="21"/>
          <w:szCs w:val="21"/>
        </w:rPr>
        <w:t>1、凡违反本合同规定，违约方将按国家有关法律法规承担违约责任。</w:t>
      </w:r>
    </w:p>
    <w:p>
      <w:pPr>
        <w:spacing w:line="288" w:lineRule="auto"/>
        <w:ind w:firstLine="396" w:firstLineChars="200"/>
        <w:rPr>
          <w:rFonts w:ascii="宋体" w:hAnsi="宋体"/>
          <w:spacing w:val="-6"/>
          <w:sz w:val="21"/>
          <w:szCs w:val="21"/>
        </w:rPr>
      </w:pPr>
      <w:r>
        <w:rPr>
          <w:rFonts w:hint="eastAsia" w:ascii="宋体" w:hAnsi="宋体"/>
          <w:spacing w:val="-6"/>
          <w:sz w:val="21"/>
          <w:szCs w:val="21"/>
        </w:rPr>
        <w:t>2、在执行上述合同期间，如有争议，双方将本着友好合作的精神充分协商，以确保顺利执行。</w:t>
      </w:r>
    </w:p>
    <w:p>
      <w:pPr>
        <w:spacing w:line="288" w:lineRule="auto"/>
        <w:ind w:firstLine="396" w:firstLineChars="200"/>
        <w:rPr>
          <w:rFonts w:ascii="宋体" w:hAnsi="宋体"/>
          <w:spacing w:val="-6"/>
          <w:sz w:val="21"/>
          <w:szCs w:val="21"/>
        </w:rPr>
      </w:pPr>
      <w:r>
        <w:rPr>
          <w:rFonts w:hint="eastAsia" w:ascii="宋体" w:hAnsi="宋体"/>
          <w:spacing w:val="-6"/>
          <w:sz w:val="21"/>
          <w:szCs w:val="21"/>
        </w:rPr>
        <w:t>3、执行中，如遇不可抗拒因素(自然灾害、战争等)影响，合同执行受阻，则不视同供、需任一方违约。但双方应尽早相互通报，以尽量减少双方损失。</w:t>
      </w:r>
    </w:p>
    <w:p>
      <w:pPr>
        <w:spacing w:line="288" w:lineRule="auto"/>
        <w:ind w:firstLine="396" w:firstLineChars="200"/>
        <w:rPr>
          <w:rFonts w:ascii="宋体" w:hAnsi="宋体"/>
          <w:spacing w:val="-6"/>
          <w:sz w:val="21"/>
          <w:szCs w:val="21"/>
        </w:rPr>
      </w:pPr>
      <w:r>
        <w:rPr>
          <w:rFonts w:hint="eastAsia" w:ascii="宋体" w:hAnsi="宋体"/>
          <w:spacing w:val="-6"/>
          <w:sz w:val="21"/>
          <w:szCs w:val="21"/>
        </w:rPr>
        <w:t>4、除国家各部门规定情形外，未经双方同意，任何一方不得以任何形式公开本合同内容，以确保双方的商业机密。</w:t>
      </w:r>
    </w:p>
    <w:p>
      <w:pPr>
        <w:spacing w:line="288" w:lineRule="auto"/>
        <w:ind w:firstLine="396" w:firstLineChars="200"/>
        <w:rPr>
          <w:rFonts w:ascii="宋体" w:hAnsi="宋体"/>
          <w:spacing w:val="-6"/>
          <w:sz w:val="21"/>
          <w:szCs w:val="21"/>
        </w:rPr>
      </w:pPr>
      <w:r>
        <w:rPr>
          <w:rFonts w:hint="eastAsia" w:ascii="宋体" w:hAnsi="宋体"/>
          <w:spacing w:val="-6"/>
          <w:sz w:val="21"/>
          <w:szCs w:val="21"/>
        </w:rPr>
        <w:t>5、需方应为供方完成各项维保工作提供有效的支持，协助供方进行日常运维操作，对供方提供的服务质量进行监督评价，对供方运维中存在的不足应及时提出意见及建议。</w:t>
      </w:r>
    </w:p>
    <w:p>
      <w:pPr>
        <w:spacing w:line="288" w:lineRule="auto"/>
        <w:rPr>
          <w:rFonts w:ascii="宋体" w:hAnsi="宋体"/>
          <w:b/>
          <w:bCs/>
          <w:spacing w:val="-6"/>
          <w:sz w:val="21"/>
          <w:szCs w:val="21"/>
        </w:rPr>
      </w:pPr>
      <w:r>
        <w:rPr>
          <w:rFonts w:hint="eastAsia" w:ascii="宋体" w:hAnsi="宋体"/>
          <w:b/>
          <w:bCs/>
          <w:spacing w:val="-6"/>
          <w:sz w:val="21"/>
          <w:szCs w:val="21"/>
        </w:rPr>
        <w:t>七、争议解决</w:t>
      </w:r>
    </w:p>
    <w:p>
      <w:pPr>
        <w:spacing w:line="288" w:lineRule="auto"/>
        <w:ind w:firstLine="396" w:firstLineChars="200"/>
        <w:rPr>
          <w:rFonts w:ascii="宋体" w:hAnsi="宋体"/>
          <w:spacing w:val="-6"/>
          <w:sz w:val="21"/>
          <w:szCs w:val="21"/>
        </w:rPr>
      </w:pPr>
      <w:r>
        <w:rPr>
          <w:rFonts w:hint="eastAsia" w:ascii="宋体" w:hAnsi="宋体"/>
          <w:spacing w:val="-6"/>
          <w:sz w:val="21"/>
          <w:szCs w:val="21"/>
        </w:rPr>
        <w:t>本合同，在发生所供服务未达到招标要求时，需方有权直接向供方索赔，签订必要的书面处理协议，如协商不成，双方同意将本合同引起的争议提交杭州仲裁委员会仲裁解决，仲裁为终局。</w:t>
      </w:r>
    </w:p>
    <w:p>
      <w:pPr>
        <w:spacing w:line="288" w:lineRule="auto"/>
        <w:rPr>
          <w:rFonts w:ascii="宋体" w:hAnsi="宋体"/>
          <w:b/>
          <w:bCs/>
          <w:spacing w:val="-6"/>
          <w:sz w:val="21"/>
          <w:szCs w:val="21"/>
        </w:rPr>
      </w:pPr>
      <w:r>
        <w:rPr>
          <w:rFonts w:hint="eastAsia" w:ascii="宋体" w:hAnsi="宋体"/>
          <w:b/>
          <w:bCs/>
          <w:spacing w:val="-6"/>
          <w:sz w:val="21"/>
          <w:szCs w:val="21"/>
        </w:rPr>
        <w:t>八、其他</w:t>
      </w:r>
    </w:p>
    <w:p>
      <w:pPr>
        <w:spacing w:line="288" w:lineRule="auto"/>
        <w:ind w:firstLine="534" w:firstLineChars="270"/>
        <w:rPr>
          <w:rFonts w:ascii="宋体" w:hAnsi="宋体" w:cs="宋体"/>
          <w:bCs/>
          <w:sz w:val="21"/>
          <w:szCs w:val="21"/>
        </w:rPr>
      </w:pPr>
      <w:r>
        <w:rPr>
          <w:rFonts w:hint="eastAsia" w:ascii="宋体" w:hAnsi="宋体"/>
          <w:spacing w:val="-6"/>
          <w:sz w:val="21"/>
          <w:szCs w:val="21"/>
        </w:rPr>
        <w:t>严禁供方向鉴证方和需方等相关人员行贿，不能出资邀请上述人员到供方单位参观考察等活动；严禁鉴证方和需方等相关人员向供方索贿，不得故意刁难供方。</w:t>
      </w:r>
    </w:p>
    <w:p>
      <w:pPr>
        <w:spacing w:line="288" w:lineRule="auto"/>
        <w:rPr>
          <w:rFonts w:ascii="Calibri" w:hAnsi="Calibri"/>
          <w:b/>
          <w:bCs/>
          <w:sz w:val="21"/>
          <w:szCs w:val="21"/>
        </w:rPr>
      </w:pPr>
      <w:r>
        <w:rPr>
          <w:rFonts w:hint="eastAsia" w:ascii="Calibri" w:hAnsi="Calibri"/>
          <w:b/>
          <w:bCs/>
          <w:sz w:val="21"/>
          <w:szCs w:val="21"/>
        </w:rPr>
        <w:t>九、协议生效</w:t>
      </w:r>
    </w:p>
    <w:p>
      <w:pPr>
        <w:spacing w:line="288" w:lineRule="auto"/>
        <w:ind w:firstLine="567" w:firstLineChars="270"/>
        <w:rPr>
          <w:rFonts w:ascii="Calibri" w:hAnsi="Calibri"/>
          <w:bCs/>
          <w:sz w:val="21"/>
          <w:szCs w:val="21"/>
        </w:rPr>
      </w:pPr>
      <w:r>
        <w:rPr>
          <w:rFonts w:hint="eastAsia" w:ascii="Calibri" w:hAnsi="Calibri"/>
          <w:bCs/>
          <w:sz w:val="21"/>
          <w:szCs w:val="21"/>
        </w:rPr>
        <w:t>本协议经双方签字、盖公章后生效。协议内容除签字人签字、单位盖章、签署日期外，其余均应打印前输入，手写无效。协议内容如与采购文件、投标文件及供方书面相关承诺等不一致的，按有利于需方为准。本协议一式</w:t>
      </w:r>
      <w:r>
        <w:rPr>
          <w:rFonts w:hint="eastAsia" w:ascii="Calibri" w:hAnsi="Calibri"/>
          <w:bCs/>
          <w:sz w:val="21"/>
          <w:szCs w:val="21"/>
          <w:lang w:val="en-US" w:eastAsia="zh-CN"/>
        </w:rPr>
        <w:t>陆</w:t>
      </w:r>
      <w:r>
        <w:rPr>
          <w:rFonts w:hint="eastAsia" w:ascii="Calibri" w:hAnsi="Calibri"/>
          <w:bCs/>
          <w:sz w:val="21"/>
          <w:szCs w:val="21"/>
        </w:rPr>
        <w:t>份，供需双方及采购代理机构各执</w:t>
      </w:r>
      <w:r>
        <w:rPr>
          <w:rFonts w:hint="eastAsia" w:ascii="Calibri" w:hAnsi="Calibri"/>
          <w:bCs/>
          <w:sz w:val="21"/>
          <w:szCs w:val="21"/>
          <w:lang w:val="en-US" w:eastAsia="zh-CN"/>
        </w:rPr>
        <w:t>贰</w:t>
      </w:r>
      <w:r>
        <w:rPr>
          <w:rFonts w:hint="eastAsia" w:ascii="Calibri" w:hAnsi="Calibri"/>
          <w:bCs/>
          <w:sz w:val="21"/>
          <w:szCs w:val="21"/>
        </w:rPr>
        <w:t>份。</w:t>
      </w:r>
    </w:p>
    <w:p>
      <w:pPr>
        <w:widowControl/>
        <w:jc w:val="left"/>
        <w:rPr>
          <w:rFonts w:ascii="宋体" w:hAnsi="宋体" w:cs="宋体"/>
          <w:bCs/>
          <w:sz w:val="21"/>
          <w:szCs w:val="21"/>
        </w:rPr>
      </w:pPr>
    </w:p>
    <w:tbl>
      <w:tblPr>
        <w:tblStyle w:val="21"/>
        <w:tblW w:w="0" w:type="auto"/>
        <w:jc w:val="center"/>
        <w:tblLayout w:type="fixed"/>
        <w:tblCellMar>
          <w:top w:w="0" w:type="dxa"/>
          <w:left w:w="108" w:type="dxa"/>
          <w:bottom w:w="0" w:type="dxa"/>
          <w:right w:w="108" w:type="dxa"/>
        </w:tblCellMar>
      </w:tblPr>
      <w:tblGrid>
        <w:gridCol w:w="1095"/>
        <w:gridCol w:w="2830"/>
        <w:gridCol w:w="2100"/>
        <w:gridCol w:w="2451"/>
      </w:tblGrid>
      <w:tr>
        <w:tblPrEx>
          <w:tblCellMar>
            <w:top w:w="0" w:type="dxa"/>
            <w:left w:w="108" w:type="dxa"/>
            <w:bottom w:w="0" w:type="dxa"/>
            <w:right w:w="108" w:type="dxa"/>
          </w:tblCellMar>
        </w:tblPrEx>
        <w:trPr>
          <w:trHeight w:val="960" w:hRule="atLeast"/>
          <w:jc w:val="center"/>
        </w:trPr>
        <w:tc>
          <w:tcPr>
            <w:tcW w:w="1095" w:type="dxa"/>
            <w:vAlign w:val="bottom"/>
          </w:tcPr>
          <w:p>
            <w:pPr>
              <w:spacing w:line="480" w:lineRule="exact"/>
              <w:jc w:val="right"/>
              <w:rPr>
                <w:rFonts w:ascii="Calibri" w:hAnsi="Calibri" w:eastAsia="仿宋_GB2312"/>
                <w:sz w:val="24"/>
              </w:rPr>
            </w:pPr>
            <w:r>
              <w:rPr>
                <w:rFonts w:hint="eastAsia" w:ascii="宋体" w:hAnsi="宋体"/>
                <w:spacing w:val="-6"/>
                <w:sz w:val="24"/>
              </w:rPr>
              <w:t>需</w:t>
            </w:r>
            <w:r>
              <w:rPr>
                <w:rFonts w:ascii="Calibri" w:hAnsi="Calibri" w:eastAsia="仿宋_GB2312"/>
                <w:sz w:val="24"/>
              </w:rPr>
              <w:t>方</w:t>
            </w:r>
            <w:r>
              <w:rPr>
                <w:rFonts w:hint="eastAsia" w:ascii="Calibri" w:hAnsi="Calibri" w:eastAsia="仿宋_GB2312"/>
                <w:sz w:val="24"/>
              </w:rPr>
              <w:t>:</w:t>
            </w:r>
          </w:p>
        </w:tc>
        <w:tc>
          <w:tcPr>
            <w:tcW w:w="2830" w:type="dxa"/>
            <w:tcBorders>
              <w:bottom w:val="single" w:color="auto" w:sz="4" w:space="0"/>
            </w:tcBorders>
            <w:vAlign w:val="bottom"/>
          </w:tcPr>
          <w:p>
            <w:pPr>
              <w:spacing w:line="480" w:lineRule="exact"/>
              <w:jc w:val="center"/>
              <w:rPr>
                <w:rFonts w:ascii="华文仿宋" w:hAnsi="华文仿宋" w:eastAsia="华文仿宋"/>
                <w:sz w:val="18"/>
                <w:szCs w:val="18"/>
              </w:rPr>
            </w:pPr>
          </w:p>
        </w:tc>
        <w:tc>
          <w:tcPr>
            <w:tcW w:w="2100" w:type="dxa"/>
            <w:vAlign w:val="bottom"/>
          </w:tcPr>
          <w:p>
            <w:pPr>
              <w:spacing w:line="480" w:lineRule="exact"/>
              <w:jc w:val="right"/>
              <w:rPr>
                <w:rFonts w:ascii="Calibri" w:hAnsi="Calibri" w:eastAsia="仿宋_GB2312"/>
                <w:sz w:val="24"/>
              </w:rPr>
            </w:pPr>
            <w:r>
              <w:rPr>
                <w:rFonts w:hint="eastAsia" w:ascii="宋体" w:hAnsi="宋体"/>
                <w:spacing w:val="-6"/>
                <w:sz w:val="24"/>
              </w:rPr>
              <w:t>供</w:t>
            </w:r>
            <w:r>
              <w:rPr>
                <w:rFonts w:ascii="Calibri" w:hAnsi="Calibri" w:eastAsia="仿宋_GB2312"/>
                <w:sz w:val="24"/>
              </w:rPr>
              <w:t>方</w:t>
            </w:r>
            <w:r>
              <w:rPr>
                <w:rFonts w:hint="eastAsia" w:ascii="Calibri" w:hAnsi="Calibri" w:eastAsia="仿宋_GB2312"/>
                <w:sz w:val="24"/>
              </w:rPr>
              <w:t>:</w:t>
            </w:r>
          </w:p>
        </w:tc>
        <w:tc>
          <w:tcPr>
            <w:tcW w:w="2451" w:type="dxa"/>
            <w:tcBorders>
              <w:bottom w:val="single" w:color="auto" w:sz="4" w:space="0"/>
            </w:tcBorders>
            <w:vAlign w:val="bottom"/>
          </w:tcPr>
          <w:p>
            <w:pPr>
              <w:spacing w:line="480" w:lineRule="exact"/>
              <w:jc w:val="center"/>
              <w:rPr>
                <w:rFonts w:ascii="Calibri" w:hAnsi="Calibri" w:eastAsia="仿宋_GB2312"/>
                <w:sz w:val="24"/>
              </w:rPr>
            </w:pPr>
          </w:p>
        </w:tc>
      </w:tr>
      <w:tr>
        <w:tblPrEx>
          <w:tblCellMar>
            <w:top w:w="0" w:type="dxa"/>
            <w:left w:w="108" w:type="dxa"/>
            <w:bottom w:w="0" w:type="dxa"/>
            <w:right w:w="108" w:type="dxa"/>
          </w:tblCellMar>
        </w:tblPrEx>
        <w:trPr>
          <w:trHeight w:val="985" w:hRule="atLeast"/>
          <w:jc w:val="center"/>
        </w:trPr>
        <w:tc>
          <w:tcPr>
            <w:tcW w:w="1095" w:type="dxa"/>
            <w:vAlign w:val="bottom"/>
          </w:tcPr>
          <w:p>
            <w:pPr>
              <w:spacing w:line="480" w:lineRule="exact"/>
              <w:jc w:val="right"/>
              <w:rPr>
                <w:rFonts w:ascii="Calibri" w:hAnsi="Calibri" w:eastAsia="仿宋_GB2312"/>
                <w:sz w:val="24"/>
              </w:rPr>
            </w:pPr>
            <w:r>
              <w:rPr>
                <w:rFonts w:ascii="Calibri" w:hAnsi="Calibri" w:eastAsia="仿宋_GB2312"/>
                <w:sz w:val="24"/>
              </w:rPr>
              <w:t>签字</w:t>
            </w:r>
            <w:r>
              <w:rPr>
                <w:rFonts w:hint="eastAsia" w:ascii="Calibri" w:hAnsi="Calibri" w:eastAsia="仿宋_GB2312"/>
                <w:sz w:val="24"/>
              </w:rPr>
              <w:t>:</w:t>
            </w:r>
          </w:p>
        </w:tc>
        <w:tc>
          <w:tcPr>
            <w:tcW w:w="2830" w:type="dxa"/>
            <w:tcBorders>
              <w:top w:val="single" w:color="auto" w:sz="4" w:space="0"/>
              <w:bottom w:val="single" w:color="auto" w:sz="4" w:space="0"/>
            </w:tcBorders>
            <w:vAlign w:val="bottom"/>
          </w:tcPr>
          <w:p>
            <w:pPr>
              <w:spacing w:line="480" w:lineRule="exact"/>
              <w:jc w:val="right"/>
              <w:rPr>
                <w:rFonts w:ascii="Calibri" w:hAnsi="Calibri" w:eastAsia="仿宋_GB2312"/>
                <w:sz w:val="24"/>
              </w:rPr>
            </w:pPr>
          </w:p>
        </w:tc>
        <w:tc>
          <w:tcPr>
            <w:tcW w:w="2100" w:type="dxa"/>
            <w:vAlign w:val="bottom"/>
          </w:tcPr>
          <w:p>
            <w:pPr>
              <w:spacing w:line="480" w:lineRule="exact"/>
              <w:jc w:val="right"/>
              <w:rPr>
                <w:rFonts w:ascii="Calibri" w:hAnsi="Calibri" w:eastAsia="仿宋_GB2312"/>
                <w:sz w:val="24"/>
              </w:rPr>
            </w:pPr>
            <w:r>
              <w:rPr>
                <w:rFonts w:ascii="Calibri" w:hAnsi="Calibri" w:eastAsia="仿宋_GB2312"/>
                <w:sz w:val="24"/>
              </w:rPr>
              <w:t>签字</w:t>
            </w:r>
            <w:r>
              <w:rPr>
                <w:rFonts w:hint="eastAsia" w:ascii="Calibri" w:hAnsi="Calibri" w:eastAsia="仿宋_GB2312"/>
                <w:sz w:val="24"/>
              </w:rPr>
              <w:t>:</w:t>
            </w:r>
          </w:p>
        </w:tc>
        <w:tc>
          <w:tcPr>
            <w:tcW w:w="2451" w:type="dxa"/>
            <w:tcBorders>
              <w:top w:val="single" w:color="auto" w:sz="4" w:space="0"/>
              <w:bottom w:val="single" w:color="auto" w:sz="4" w:space="0"/>
            </w:tcBorders>
            <w:vAlign w:val="bottom"/>
          </w:tcPr>
          <w:p>
            <w:pPr>
              <w:spacing w:line="480" w:lineRule="exact"/>
              <w:jc w:val="right"/>
              <w:rPr>
                <w:rFonts w:ascii="Calibri" w:hAnsi="Calibri" w:eastAsia="仿宋_GB2312"/>
                <w:sz w:val="24"/>
              </w:rPr>
            </w:pPr>
          </w:p>
        </w:tc>
      </w:tr>
      <w:tr>
        <w:tblPrEx>
          <w:tblCellMar>
            <w:top w:w="0" w:type="dxa"/>
            <w:left w:w="108" w:type="dxa"/>
            <w:bottom w:w="0" w:type="dxa"/>
            <w:right w:w="108" w:type="dxa"/>
          </w:tblCellMar>
        </w:tblPrEx>
        <w:trPr>
          <w:trHeight w:val="890" w:hRule="atLeast"/>
          <w:jc w:val="center"/>
        </w:trPr>
        <w:tc>
          <w:tcPr>
            <w:tcW w:w="1095" w:type="dxa"/>
            <w:vAlign w:val="bottom"/>
          </w:tcPr>
          <w:p>
            <w:pPr>
              <w:spacing w:line="480" w:lineRule="exact"/>
              <w:jc w:val="right"/>
              <w:rPr>
                <w:rFonts w:ascii="Calibri" w:hAnsi="Calibri" w:eastAsia="仿宋_GB2312"/>
                <w:sz w:val="24"/>
              </w:rPr>
            </w:pPr>
            <w:r>
              <w:rPr>
                <w:rFonts w:ascii="Calibri" w:hAnsi="Calibri" w:eastAsia="仿宋_GB2312"/>
                <w:sz w:val="24"/>
              </w:rPr>
              <w:t>日期</w:t>
            </w:r>
            <w:r>
              <w:rPr>
                <w:rFonts w:hint="eastAsia" w:ascii="Calibri" w:hAnsi="Calibri" w:eastAsia="仿宋_GB2312"/>
                <w:sz w:val="24"/>
              </w:rPr>
              <w:t>:</w:t>
            </w:r>
          </w:p>
        </w:tc>
        <w:tc>
          <w:tcPr>
            <w:tcW w:w="2830" w:type="dxa"/>
            <w:tcBorders>
              <w:top w:val="single" w:color="auto" w:sz="4" w:space="0"/>
              <w:bottom w:val="single" w:color="auto" w:sz="4" w:space="0"/>
            </w:tcBorders>
            <w:vAlign w:val="bottom"/>
          </w:tcPr>
          <w:p>
            <w:pPr>
              <w:spacing w:line="480" w:lineRule="exact"/>
              <w:jc w:val="right"/>
              <w:rPr>
                <w:rFonts w:ascii="Calibri" w:hAnsi="Calibri" w:eastAsia="仿宋_GB2312"/>
                <w:sz w:val="24"/>
              </w:rPr>
            </w:pPr>
          </w:p>
        </w:tc>
        <w:tc>
          <w:tcPr>
            <w:tcW w:w="2100" w:type="dxa"/>
            <w:vAlign w:val="bottom"/>
          </w:tcPr>
          <w:p>
            <w:pPr>
              <w:spacing w:line="480" w:lineRule="exact"/>
              <w:jc w:val="right"/>
              <w:rPr>
                <w:rFonts w:ascii="Calibri" w:hAnsi="Calibri" w:eastAsia="仿宋_GB2312"/>
                <w:sz w:val="24"/>
              </w:rPr>
            </w:pPr>
            <w:r>
              <w:rPr>
                <w:rFonts w:ascii="Calibri" w:hAnsi="Calibri" w:eastAsia="仿宋_GB2312"/>
                <w:sz w:val="24"/>
              </w:rPr>
              <w:t>日期</w:t>
            </w:r>
            <w:r>
              <w:rPr>
                <w:rFonts w:hint="eastAsia" w:ascii="Calibri" w:hAnsi="Calibri" w:eastAsia="仿宋_GB2312"/>
                <w:sz w:val="24"/>
              </w:rPr>
              <w:t>:</w:t>
            </w:r>
          </w:p>
        </w:tc>
        <w:tc>
          <w:tcPr>
            <w:tcW w:w="2451" w:type="dxa"/>
            <w:tcBorders>
              <w:top w:val="single" w:color="auto" w:sz="4" w:space="0"/>
              <w:bottom w:val="single" w:color="auto" w:sz="4" w:space="0"/>
            </w:tcBorders>
            <w:vAlign w:val="bottom"/>
          </w:tcPr>
          <w:p>
            <w:pPr>
              <w:spacing w:line="480" w:lineRule="exact"/>
              <w:jc w:val="right"/>
              <w:rPr>
                <w:rFonts w:ascii="Calibri" w:hAnsi="Calibri" w:eastAsia="仿宋_GB2312"/>
                <w:sz w:val="24"/>
              </w:rPr>
            </w:pPr>
          </w:p>
        </w:tc>
      </w:tr>
    </w:tbl>
    <w:p>
      <w:pPr>
        <w:rPr>
          <w:rFonts w:ascii="Calibri" w:hAnsi="Calibri"/>
        </w:rPr>
      </w:pPr>
      <w:r>
        <w:rPr>
          <w:rFonts w:ascii="Calibri" w:hAnsi="Calibri"/>
        </w:rPr>
        <w:br w:type="page"/>
      </w:r>
      <w:r>
        <w:rPr>
          <w:rFonts w:hint="eastAsia" w:ascii="Calibri" w:hAnsi="Calibri"/>
          <w:sz w:val="24"/>
        </w:rPr>
        <w:t>根据政府采购的要求，合同需要公示，</w:t>
      </w:r>
      <w:r>
        <w:rPr>
          <w:rFonts w:hint="eastAsia" w:ascii="Calibri" w:hAnsi="Calibri"/>
          <w:b/>
          <w:bCs/>
          <w:sz w:val="24"/>
        </w:rPr>
        <w:t>此页请单独一页</w:t>
      </w:r>
      <w:r>
        <w:rPr>
          <w:rFonts w:hint="eastAsia" w:ascii="Calibri" w:hAnsi="Calibri"/>
          <w:sz w:val="24"/>
        </w:rPr>
        <w:t>，以方便公示时删去。</w:t>
      </w:r>
    </w:p>
    <w:tbl>
      <w:tblPr>
        <w:tblStyle w:val="21"/>
        <w:tblW w:w="0" w:type="auto"/>
        <w:jc w:val="center"/>
        <w:tblLayout w:type="fixed"/>
        <w:tblCellMar>
          <w:top w:w="0" w:type="dxa"/>
          <w:left w:w="108" w:type="dxa"/>
          <w:bottom w:w="0" w:type="dxa"/>
          <w:right w:w="108" w:type="dxa"/>
        </w:tblCellMar>
      </w:tblPr>
      <w:tblGrid>
        <w:gridCol w:w="4185"/>
        <w:gridCol w:w="4156"/>
      </w:tblGrid>
      <w:tr>
        <w:tblPrEx>
          <w:tblCellMar>
            <w:top w:w="0" w:type="dxa"/>
            <w:left w:w="108" w:type="dxa"/>
            <w:bottom w:w="0" w:type="dxa"/>
            <w:right w:w="108" w:type="dxa"/>
          </w:tblCellMar>
        </w:tblPrEx>
        <w:trPr>
          <w:trHeight w:val="397" w:hRule="atLeast"/>
          <w:jc w:val="center"/>
        </w:trPr>
        <w:tc>
          <w:tcPr>
            <w:tcW w:w="83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pacing w:val="-6"/>
                <w:sz w:val="21"/>
                <w:szCs w:val="21"/>
              </w:rPr>
            </w:pPr>
            <w:r>
              <w:rPr>
                <w:rFonts w:hint="eastAsia" w:ascii="宋体" w:hAnsi="宋体"/>
                <w:spacing w:val="-6"/>
                <w:sz w:val="21"/>
                <w:szCs w:val="21"/>
              </w:rPr>
              <w:t>双方信息</w:t>
            </w:r>
          </w:p>
        </w:tc>
      </w:tr>
      <w:tr>
        <w:tblPrEx>
          <w:tblCellMar>
            <w:top w:w="0" w:type="dxa"/>
            <w:left w:w="108" w:type="dxa"/>
            <w:bottom w:w="0" w:type="dxa"/>
            <w:right w:w="108" w:type="dxa"/>
          </w:tblCellMar>
        </w:tblPrEx>
        <w:trPr>
          <w:trHeight w:val="397" w:hRule="atLeast"/>
          <w:jc w:val="center"/>
        </w:trPr>
        <w:tc>
          <w:tcPr>
            <w:tcW w:w="4185"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需方签字人信息</w:t>
            </w:r>
          </w:p>
          <w:p>
            <w:pPr>
              <w:rPr>
                <w:rFonts w:ascii="宋体" w:hAnsi="宋体"/>
                <w:spacing w:val="-6"/>
                <w:sz w:val="21"/>
                <w:szCs w:val="21"/>
              </w:rPr>
            </w:pPr>
            <w:r>
              <w:rPr>
                <w:rFonts w:hint="eastAsia" w:ascii="宋体" w:hAnsi="宋体"/>
                <w:spacing w:val="-6"/>
                <w:sz w:val="21"/>
                <w:szCs w:val="21"/>
              </w:rPr>
              <w:t>姓名:</w:t>
            </w:r>
          </w:p>
          <w:p>
            <w:pPr>
              <w:rPr>
                <w:rFonts w:ascii="宋体" w:hAnsi="宋体"/>
                <w:spacing w:val="-6"/>
                <w:sz w:val="21"/>
                <w:szCs w:val="21"/>
              </w:rPr>
            </w:pPr>
            <w:r>
              <w:rPr>
                <w:rFonts w:hint="eastAsia" w:ascii="宋体" w:hAnsi="宋体"/>
                <w:spacing w:val="-6"/>
                <w:sz w:val="21"/>
                <w:szCs w:val="21"/>
              </w:rPr>
              <w:t>工号:</w:t>
            </w:r>
          </w:p>
          <w:p>
            <w:pPr>
              <w:rPr>
                <w:rFonts w:ascii="宋体" w:hAnsi="宋体"/>
                <w:spacing w:val="-6"/>
                <w:sz w:val="21"/>
                <w:szCs w:val="21"/>
              </w:rPr>
            </w:pPr>
            <w:r>
              <w:rPr>
                <w:rFonts w:hint="eastAsia" w:ascii="宋体" w:hAnsi="宋体"/>
                <w:spacing w:val="-6"/>
                <w:sz w:val="21"/>
                <w:szCs w:val="21"/>
              </w:rPr>
              <w:t>手机:</w:t>
            </w:r>
          </w:p>
          <w:p>
            <w:pPr>
              <w:rPr>
                <w:rFonts w:ascii="宋体" w:hAnsi="宋体"/>
                <w:spacing w:val="-6"/>
                <w:sz w:val="21"/>
                <w:szCs w:val="21"/>
              </w:rPr>
            </w:pPr>
            <w:r>
              <w:rPr>
                <w:rFonts w:hint="eastAsia" w:ascii="宋体" w:hAnsi="宋体"/>
                <w:spacing w:val="-6"/>
                <w:sz w:val="21"/>
                <w:szCs w:val="21"/>
              </w:rPr>
              <w:t xml:space="preserve">Email: </w:t>
            </w:r>
          </w:p>
        </w:tc>
        <w:tc>
          <w:tcPr>
            <w:tcW w:w="4156"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供方签字人信息</w:t>
            </w:r>
          </w:p>
          <w:p>
            <w:pPr>
              <w:rPr>
                <w:rFonts w:ascii="宋体" w:hAnsi="宋体"/>
                <w:spacing w:val="-6"/>
                <w:sz w:val="21"/>
                <w:szCs w:val="21"/>
              </w:rPr>
            </w:pPr>
            <w:r>
              <w:rPr>
                <w:rFonts w:hint="eastAsia" w:ascii="宋体" w:hAnsi="宋体"/>
                <w:spacing w:val="-6"/>
                <w:sz w:val="21"/>
                <w:szCs w:val="21"/>
              </w:rPr>
              <w:t>姓名:</w:t>
            </w:r>
          </w:p>
          <w:p>
            <w:pPr>
              <w:rPr>
                <w:rFonts w:ascii="宋体" w:hAnsi="宋体"/>
                <w:spacing w:val="-6"/>
                <w:sz w:val="21"/>
                <w:szCs w:val="21"/>
              </w:rPr>
            </w:pPr>
            <w:r>
              <w:rPr>
                <w:rFonts w:hint="eastAsia" w:ascii="宋体" w:hAnsi="宋体"/>
                <w:spacing w:val="-6"/>
                <w:sz w:val="21"/>
                <w:szCs w:val="21"/>
              </w:rPr>
              <w:t>身份证号:</w:t>
            </w:r>
          </w:p>
          <w:p>
            <w:pPr>
              <w:rPr>
                <w:rFonts w:ascii="宋体" w:hAnsi="宋体"/>
                <w:spacing w:val="-6"/>
                <w:sz w:val="21"/>
                <w:szCs w:val="21"/>
              </w:rPr>
            </w:pPr>
            <w:r>
              <w:rPr>
                <w:rFonts w:hint="eastAsia" w:ascii="宋体" w:hAnsi="宋体"/>
                <w:spacing w:val="-6"/>
                <w:sz w:val="21"/>
                <w:szCs w:val="21"/>
              </w:rPr>
              <w:t>手机:</w:t>
            </w:r>
          </w:p>
          <w:p>
            <w:pPr>
              <w:rPr>
                <w:rFonts w:ascii="宋体" w:hAnsi="宋体"/>
                <w:spacing w:val="-6"/>
                <w:sz w:val="21"/>
                <w:szCs w:val="21"/>
              </w:rPr>
            </w:pPr>
            <w:r>
              <w:rPr>
                <w:rFonts w:hint="eastAsia" w:ascii="宋体" w:hAnsi="宋体"/>
                <w:spacing w:val="-6"/>
                <w:sz w:val="21"/>
                <w:szCs w:val="21"/>
              </w:rPr>
              <w:t>Email:</w:t>
            </w:r>
            <w:r>
              <w:rPr>
                <w:rFonts w:hint="eastAsia" w:ascii="宋体" w:hAnsi="宋体"/>
                <w:spacing w:val="-6"/>
                <w:sz w:val="21"/>
                <w:szCs w:val="21"/>
              </w:rPr>
              <w:tab/>
            </w:r>
          </w:p>
        </w:tc>
      </w:tr>
      <w:tr>
        <w:tblPrEx>
          <w:tblCellMar>
            <w:top w:w="0" w:type="dxa"/>
            <w:left w:w="108" w:type="dxa"/>
            <w:bottom w:w="0" w:type="dxa"/>
            <w:right w:w="108" w:type="dxa"/>
          </w:tblCellMar>
        </w:tblPrEx>
        <w:trPr>
          <w:trHeight w:val="397" w:hRule="atLeast"/>
          <w:jc w:val="center"/>
        </w:trPr>
        <w:tc>
          <w:tcPr>
            <w:tcW w:w="4185"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需方联系人信息（如与签字人相同，可不填）</w:t>
            </w:r>
          </w:p>
          <w:p>
            <w:pPr>
              <w:rPr>
                <w:rFonts w:ascii="宋体" w:hAnsi="宋体"/>
                <w:spacing w:val="-6"/>
                <w:sz w:val="21"/>
                <w:szCs w:val="21"/>
              </w:rPr>
            </w:pPr>
            <w:r>
              <w:rPr>
                <w:rFonts w:hint="eastAsia" w:ascii="宋体" w:hAnsi="宋体"/>
                <w:spacing w:val="-6"/>
                <w:sz w:val="21"/>
                <w:szCs w:val="21"/>
              </w:rPr>
              <w:t>姓名:</w:t>
            </w:r>
          </w:p>
          <w:p>
            <w:pPr>
              <w:rPr>
                <w:rFonts w:ascii="宋体" w:hAnsi="宋体"/>
                <w:spacing w:val="-6"/>
                <w:sz w:val="21"/>
                <w:szCs w:val="21"/>
              </w:rPr>
            </w:pPr>
            <w:r>
              <w:rPr>
                <w:rFonts w:hint="eastAsia" w:ascii="宋体" w:hAnsi="宋体"/>
                <w:spacing w:val="-6"/>
                <w:sz w:val="21"/>
                <w:szCs w:val="21"/>
              </w:rPr>
              <w:t>工号或学号:</w:t>
            </w:r>
          </w:p>
          <w:p>
            <w:pPr>
              <w:rPr>
                <w:rFonts w:ascii="宋体" w:hAnsi="宋体"/>
                <w:spacing w:val="-6"/>
                <w:sz w:val="21"/>
                <w:szCs w:val="21"/>
              </w:rPr>
            </w:pPr>
            <w:r>
              <w:rPr>
                <w:rFonts w:hint="eastAsia" w:ascii="宋体" w:hAnsi="宋体"/>
                <w:spacing w:val="-6"/>
                <w:sz w:val="21"/>
                <w:szCs w:val="21"/>
              </w:rPr>
              <w:t>手机:</w:t>
            </w:r>
          </w:p>
          <w:p>
            <w:pPr>
              <w:rPr>
                <w:rFonts w:ascii="宋体" w:hAnsi="宋体"/>
                <w:spacing w:val="-6"/>
                <w:sz w:val="21"/>
                <w:szCs w:val="21"/>
              </w:rPr>
            </w:pPr>
            <w:r>
              <w:rPr>
                <w:rFonts w:hint="eastAsia" w:ascii="宋体" w:hAnsi="宋体"/>
                <w:spacing w:val="-6"/>
                <w:sz w:val="21"/>
                <w:szCs w:val="21"/>
              </w:rPr>
              <w:t>Email:</w:t>
            </w:r>
          </w:p>
        </w:tc>
        <w:tc>
          <w:tcPr>
            <w:tcW w:w="4156"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供方联系人信息（如与签字人相同，可不填）</w:t>
            </w:r>
          </w:p>
          <w:p>
            <w:pPr>
              <w:rPr>
                <w:rFonts w:ascii="宋体" w:hAnsi="宋体"/>
                <w:spacing w:val="-6"/>
                <w:sz w:val="21"/>
                <w:szCs w:val="21"/>
              </w:rPr>
            </w:pPr>
            <w:r>
              <w:rPr>
                <w:rFonts w:hint="eastAsia" w:ascii="宋体" w:hAnsi="宋体"/>
                <w:spacing w:val="-6"/>
                <w:sz w:val="21"/>
                <w:szCs w:val="21"/>
              </w:rPr>
              <w:t>姓名:</w:t>
            </w:r>
          </w:p>
          <w:p>
            <w:pPr>
              <w:rPr>
                <w:rFonts w:ascii="宋体" w:hAnsi="宋体"/>
                <w:spacing w:val="-6"/>
                <w:sz w:val="21"/>
                <w:szCs w:val="21"/>
              </w:rPr>
            </w:pPr>
            <w:r>
              <w:rPr>
                <w:rFonts w:hint="eastAsia" w:ascii="宋体" w:hAnsi="宋体"/>
                <w:spacing w:val="-6"/>
                <w:sz w:val="21"/>
                <w:szCs w:val="21"/>
              </w:rPr>
              <w:t>身份证号:</w:t>
            </w:r>
          </w:p>
          <w:p>
            <w:pPr>
              <w:rPr>
                <w:rFonts w:ascii="宋体" w:hAnsi="宋体"/>
                <w:spacing w:val="-6"/>
                <w:sz w:val="21"/>
                <w:szCs w:val="21"/>
              </w:rPr>
            </w:pPr>
            <w:r>
              <w:rPr>
                <w:rFonts w:hint="eastAsia" w:ascii="宋体" w:hAnsi="宋体"/>
                <w:spacing w:val="-6"/>
                <w:sz w:val="21"/>
                <w:szCs w:val="21"/>
              </w:rPr>
              <w:t>手机:</w:t>
            </w:r>
          </w:p>
          <w:p>
            <w:pPr>
              <w:rPr>
                <w:rFonts w:ascii="宋体" w:hAnsi="宋体"/>
                <w:spacing w:val="-6"/>
                <w:sz w:val="21"/>
                <w:szCs w:val="21"/>
              </w:rPr>
            </w:pPr>
            <w:r>
              <w:rPr>
                <w:rFonts w:hint="eastAsia" w:ascii="宋体" w:hAnsi="宋体"/>
                <w:spacing w:val="-6"/>
                <w:sz w:val="21"/>
                <w:szCs w:val="21"/>
              </w:rPr>
              <w:t>Email:</w:t>
            </w:r>
            <w:r>
              <w:rPr>
                <w:rFonts w:hint="eastAsia" w:ascii="宋体" w:hAnsi="宋体"/>
                <w:spacing w:val="-6"/>
                <w:sz w:val="21"/>
                <w:szCs w:val="21"/>
              </w:rPr>
              <w:tab/>
            </w:r>
          </w:p>
        </w:tc>
      </w:tr>
      <w:tr>
        <w:tblPrEx>
          <w:tblCellMar>
            <w:top w:w="0" w:type="dxa"/>
            <w:left w:w="108" w:type="dxa"/>
            <w:bottom w:w="0" w:type="dxa"/>
            <w:right w:w="108" w:type="dxa"/>
          </w:tblCellMar>
        </w:tblPrEx>
        <w:trPr>
          <w:trHeight w:val="397" w:hRule="atLeast"/>
          <w:jc w:val="center"/>
        </w:trPr>
        <w:tc>
          <w:tcPr>
            <w:tcW w:w="834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Calibri" w:hAnsi="Calibri" w:eastAsia="仿宋_GB2312"/>
                <w:sz w:val="21"/>
                <w:szCs w:val="21"/>
              </w:rPr>
              <w:t>设备交付地点（送货前再确认，可经双方同意后变更至校内其他地址）：</w:t>
            </w:r>
          </w:p>
        </w:tc>
      </w:tr>
      <w:tr>
        <w:tblPrEx>
          <w:tblCellMar>
            <w:top w:w="0" w:type="dxa"/>
            <w:left w:w="108" w:type="dxa"/>
            <w:bottom w:w="0" w:type="dxa"/>
            <w:right w:w="108" w:type="dxa"/>
          </w:tblCellMar>
        </w:tblPrEx>
        <w:trPr>
          <w:trHeight w:val="397" w:hRule="atLeast"/>
          <w:jc w:val="center"/>
        </w:trPr>
        <w:tc>
          <w:tcPr>
            <w:tcW w:w="834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浙江大学              校区              楼               室</w:t>
            </w:r>
          </w:p>
          <w:p>
            <w:pPr>
              <w:rPr>
                <w:rFonts w:ascii="宋体" w:hAnsi="宋体"/>
                <w:spacing w:val="-6"/>
                <w:sz w:val="21"/>
                <w:szCs w:val="21"/>
              </w:rPr>
            </w:pPr>
            <w:r>
              <w:rPr>
                <w:rFonts w:hint="eastAsia" w:ascii="宋体" w:hAnsi="宋体"/>
                <w:spacing w:val="-6"/>
                <w:sz w:val="21"/>
                <w:szCs w:val="21"/>
              </w:rPr>
              <w:t xml:space="preserve">                       医院              楼               室</w:t>
            </w:r>
          </w:p>
        </w:tc>
      </w:tr>
    </w:tbl>
    <w:p>
      <w:pPr>
        <w:spacing w:line="288" w:lineRule="auto"/>
        <w:jc w:val="left"/>
        <w:rPr>
          <w:rFonts w:ascii="宋体" w:hAnsi="宋体"/>
          <w:spacing w:val="-6"/>
          <w:sz w:val="21"/>
          <w:szCs w:val="21"/>
        </w:rPr>
      </w:pPr>
      <w:r>
        <w:rPr>
          <w:rFonts w:hint="eastAsia" w:ascii="宋体" w:hAnsi="宋体"/>
          <w:spacing w:val="-6"/>
          <w:sz w:val="21"/>
          <w:szCs w:val="21"/>
        </w:rPr>
        <w:t>注：1、上表内容，请</w:t>
      </w:r>
      <w:r>
        <w:rPr>
          <w:rFonts w:hint="eastAsia" w:ascii="宋体" w:hAnsi="宋体"/>
          <w:b/>
          <w:bCs/>
          <w:spacing w:val="-6"/>
          <w:sz w:val="21"/>
          <w:szCs w:val="21"/>
        </w:rPr>
        <w:t>打印前输入</w:t>
      </w:r>
      <w:r>
        <w:rPr>
          <w:rFonts w:hint="eastAsia" w:ascii="宋体" w:hAnsi="宋体"/>
          <w:spacing w:val="-6"/>
          <w:sz w:val="21"/>
          <w:szCs w:val="21"/>
        </w:rPr>
        <w:t>完整，不要手写；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2、需方签字人，应为项目负责人；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3、需方，应为院级单位，并盖院级公章。</w:t>
      </w:r>
    </w:p>
    <w:p>
      <w:pPr>
        <w:spacing w:line="288" w:lineRule="auto"/>
        <w:ind w:firstLine="396" w:firstLineChars="200"/>
        <w:jc w:val="left"/>
        <w:rPr>
          <w:rFonts w:ascii="宋体" w:hAnsi="宋体"/>
          <w:spacing w:val="-6"/>
          <w:sz w:val="21"/>
          <w:szCs w:val="21"/>
        </w:rPr>
      </w:pPr>
    </w:p>
    <w:p>
      <w:pPr>
        <w:pStyle w:val="12"/>
        <w:tabs>
          <w:tab w:val="left" w:pos="2472"/>
        </w:tabs>
        <w:adjustRightInd w:val="0"/>
        <w:snapToGrid w:val="0"/>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 xml:space="preserve"> 响应文件格式</w:t>
      </w:r>
    </w:p>
    <w:p>
      <w:pPr>
        <w:adjustRightInd w:val="0"/>
        <w:snapToGrid w:val="0"/>
        <w:spacing w:line="288" w:lineRule="auto"/>
        <w:rPr>
          <w:rFonts w:ascii="宋体" w:hAnsi="宋体"/>
          <w:b/>
          <w:bCs/>
          <w:spacing w:val="-6"/>
          <w:sz w:val="24"/>
        </w:rPr>
      </w:pP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pPr>
        <w:adjustRightInd w:val="0"/>
        <w:snapToGrid w:val="0"/>
        <w:spacing w:line="288" w:lineRule="auto"/>
        <w:ind w:firstLine="422" w:firstLineChars="200"/>
        <w:rPr>
          <w:rFonts w:ascii="宋体" w:hAnsi="宋体" w:cs="宋体"/>
          <w:b/>
          <w:bCs/>
          <w:sz w:val="21"/>
          <w:szCs w:val="21"/>
        </w:rPr>
      </w:pPr>
      <w:bookmarkStart w:id="51" w:name="_Hlk71884160"/>
      <w:r>
        <w:rPr>
          <w:rFonts w:hint="eastAsia" w:ascii="宋体" w:hAnsi="宋体" w:cs="宋体"/>
          <w:b/>
          <w:bCs/>
          <w:sz w:val="21"/>
          <w:szCs w:val="21"/>
        </w:rPr>
        <w:t>▲1.资格文件</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资格审查要求的资格证明材料(均需加盖公章)：</w:t>
      </w:r>
    </w:p>
    <w:bookmarkEnd w:id="51"/>
    <w:p>
      <w:pPr>
        <w:adjustRightInd w:val="0"/>
        <w:snapToGrid w:val="0"/>
        <w:spacing w:line="288" w:lineRule="auto"/>
        <w:ind w:firstLine="422" w:firstLineChars="200"/>
        <w:rPr>
          <w:rFonts w:ascii="宋体" w:hAnsi="宋体" w:cs="宋体"/>
          <w:b/>
          <w:bCs/>
          <w:sz w:val="21"/>
          <w:szCs w:val="21"/>
        </w:rPr>
      </w:pPr>
      <w:bookmarkStart w:id="52" w:name="_Hlk71884127"/>
      <w:r>
        <w:rPr>
          <w:rFonts w:hint="eastAsia" w:ascii="宋体" w:hAnsi="宋体" w:cs="宋体"/>
          <w:b/>
          <w:bCs/>
          <w:sz w:val="21"/>
          <w:szCs w:val="21"/>
        </w:rPr>
        <w:t>（1）有效的法人或者其他组织的营业执照等证明文件，自然人的身份证明</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w:t>
      </w:r>
      <w:r>
        <w:rPr>
          <w:rFonts w:ascii="宋体" w:hAnsi="宋体" w:cs="宋体"/>
          <w:b/>
          <w:bCs/>
          <w:sz w:val="21"/>
          <w:szCs w:val="21"/>
        </w:rPr>
        <w:t>2）符合参加政府采购活动应当具备的一般条件的承诺函</w:t>
      </w:r>
    </w:p>
    <w:bookmarkEnd w:id="52"/>
    <w:p>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（3）落实政府采购政策需满足的资格要求：</w:t>
      </w:r>
    </w:p>
    <w:p>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中小企业声明函（若属于中小企业）</w:t>
      </w:r>
    </w:p>
    <w:p>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属于监狱企业的证明文件（若属于监狱企业）</w:t>
      </w:r>
    </w:p>
    <w:p>
      <w:pPr>
        <w:adjustRightInd w:val="0"/>
        <w:snapToGrid w:val="0"/>
        <w:spacing w:line="288" w:lineRule="auto"/>
        <w:ind w:firstLine="422" w:firstLineChars="200"/>
        <w:rPr>
          <w:rFonts w:hint="eastAsia" w:ascii="宋体" w:hAnsi="宋体" w:eastAsia="宋体" w:cs="宋体"/>
          <w:b/>
          <w:bCs/>
          <w:sz w:val="21"/>
          <w:szCs w:val="21"/>
          <w:lang w:eastAsia="zh-CN"/>
        </w:rPr>
      </w:pPr>
      <w:r>
        <w:rPr>
          <w:rFonts w:hint="eastAsia" w:ascii="宋体" w:hAnsi="宋体" w:cs="宋体"/>
          <w:b/>
          <w:bCs/>
          <w:sz w:val="21"/>
          <w:szCs w:val="21"/>
        </w:rPr>
        <w:t>残疾人福利性单位声明函（若属于残疾人福利性单位）</w:t>
      </w:r>
      <w:r>
        <w:rPr>
          <w:rFonts w:hint="eastAsia" w:ascii="宋体" w:hAnsi="宋体" w:cs="宋体"/>
          <w:b/>
          <w:bCs/>
          <w:sz w:val="21"/>
          <w:szCs w:val="21"/>
          <w:lang w:eastAsia="zh-CN"/>
        </w:rPr>
        <w:t>。</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2.报价文件</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（1）初次报价一览表</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3.商务和技术文件</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（1）响应函</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）法定代表人授权委托书</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）2021年12月（含）以后任意一月供应商授权代表社保缴纳证明</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（3）体系认证</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（4）供应商同类合同一览表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w:t>
      </w:r>
      <w:r>
        <w:rPr>
          <w:rFonts w:ascii="宋体" w:hAnsi="宋体" w:cs="宋体"/>
          <w:sz w:val="21"/>
          <w:szCs w:val="21"/>
        </w:rPr>
        <w:t>）采购需求偏离表</w:t>
      </w:r>
    </w:p>
    <w:p>
      <w:pPr>
        <w:adjustRightInd w:val="0"/>
        <w:snapToGrid w:val="0"/>
        <w:spacing w:line="288" w:lineRule="auto"/>
        <w:ind w:firstLine="420" w:firstLineChars="200"/>
        <w:rPr>
          <w:rFonts w:ascii="宋体" w:hAnsi="宋体" w:cs="宋体"/>
          <w:sz w:val="21"/>
          <w:szCs w:val="21"/>
        </w:rPr>
      </w:pPr>
      <w:bookmarkStart w:id="53" w:name="_Hlk71884196"/>
      <w:r>
        <w:rPr>
          <w:rFonts w:hint="eastAsia" w:ascii="宋体" w:hAnsi="宋体" w:cs="宋体"/>
          <w:sz w:val="21"/>
          <w:szCs w:val="21"/>
        </w:rPr>
        <w:t>（6</w:t>
      </w:r>
      <w:r>
        <w:rPr>
          <w:rFonts w:ascii="宋体" w:hAnsi="宋体" w:cs="宋体"/>
          <w:sz w:val="21"/>
          <w:szCs w:val="21"/>
        </w:rPr>
        <w:t>）</w:t>
      </w:r>
      <w:r>
        <w:rPr>
          <w:rFonts w:hint="eastAsia" w:ascii="宋体" w:hAnsi="宋体" w:cs="宋体"/>
          <w:sz w:val="21"/>
          <w:szCs w:val="21"/>
        </w:rPr>
        <w:t>服务方案</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（7</w:t>
      </w:r>
      <w:r>
        <w:rPr>
          <w:rFonts w:ascii="宋体" w:hAnsi="宋体" w:cs="宋体"/>
          <w:sz w:val="21"/>
          <w:szCs w:val="21"/>
        </w:rPr>
        <w:t>）</w:t>
      </w:r>
      <w:r>
        <w:rPr>
          <w:rFonts w:hint="eastAsia" w:ascii="宋体" w:hAnsi="宋体" w:cs="宋体"/>
          <w:sz w:val="21"/>
          <w:szCs w:val="21"/>
        </w:rPr>
        <w:t>迁移方案</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（8</w:t>
      </w:r>
      <w:r>
        <w:rPr>
          <w:rFonts w:ascii="宋体" w:hAnsi="宋体" w:cs="宋体"/>
          <w:sz w:val="21"/>
          <w:szCs w:val="21"/>
        </w:rPr>
        <w:t>）</w:t>
      </w:r>
      <w:r>
        <w:rPr>
          <w:rFonts w:hint="eastAsia" w:ascii="宋体" w:hAnsi="宋体" w:cs="宋体"/>
          <w:sz w:val="21"/>
          <w:szCs w:val="21"/>
        </w:rPr>
        <w:t>服务团队</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（9</w:t>
      </w:r>
      <w:r>
        <w:rPr>
          <w:rFonts w:ascii="宋体" w:hAnsi="宋体" w:cs="宋体"/>
          <w:sz w:val="21"/>
          <w:szCs w:val="21"/>
        </w:rPr>
        <w:t>）</w:t>
      </w:r>
      <w:r>
        <w:rPr>
          <w:rFonts w:hint="eastAsia" w:ascii="宋体" w:hAnsi="宋体" w:cs="宋体"/>
          <w:sz w:val="21"/>
          <w:szCs w:val="21"/>
        </w:rPr>
        <w:t>项目实施方案</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（10</w:t>
      </w:r>
      <w:r>
        <w:rPr>
          <w:rFonts w:ascii="宋体" w:hAnsi="宋体" w:cs="宋体"/>
          <w:sz w:val="21"/>
          <w:szCs w:val="21"/>
        </w:rPr>
        <w:t>）</w:t>
      </w:r>
      <w:r>
        <w:rPr>
          <w:rFonts w:hint="eastAsia" w:ascii="宋体" w:hAnsi="宋体" w:cs="宋体"/>
          <w:sz w:val="21"/>
          <w:szCs w:val="21"/>
        </w:rPr>
        <w:t>安装调试验收</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（11</w:t>
      </w:r>
      <w:r>
        <w:rPr>
          <w:rFonts w:ascii="宋体" w:hAnsi="宋体" w:cs="宋体"/>
          <w:sz w:val="21"/>
          <w:szCs w:val="21"/>
        </w:rPr>
        <w:t>）</w:t>
      </w:r>
      <w:r>
        <w:rPr>
          <w:rFonts w:hint="eastAsia" w:ascii="宋体" w:hAnsi="宋体" w:cs="宋体"/>
          <w:sz w:val="21"/>
          <w:szCs w:val="21"/>
        </w:rPr>
        <w:t>售后服务</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（12</w:t>
      </w:r>
      <w:r>
        <w:rPr>
          <w:rFonts w:ascii="宋体" w:hAnsi="宋体" w:cs="宋体"/>
          <w:sz w:val="21"/>
          <w:szCs w:val="21"/>
        </w:rPr>
        <w:t>）</w:t>
      </w:r>
      <w:r>
        <w:rPr>
          <w:rFonts w:hint="eastAsia" w:ascii="宋体" w:hAnsi="宋体" w:cs="宋体"/>
          <w:sz w:val="21"/>
          <w:szCs w:val="21"/>
        </w:rPr>
        <w:t>技术服务</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（13</w:t>
      </w:r>
      <w:r>
        <w:rPr>
          <w:rFonts w:ascii="宋体" w:hAnsi="宋体" w:cs="宋体"/>
          <w:sz w:val="21"/>
          <w:szCs w:val="21"/>
        </w:rPr>
        <w:t>）</w:t>
      </w:r>
      <w:r>
        <w:rPr>
          <w:rFonts w:hint="eastAsia" w:ascii="宋体" w:hAnsi="宋体" w:cs="宋体"/>
          <w:sz w:val="21"/>
          <w:szCs w:val="21"/>
        </w:rPr>
        <w:t>供应商</w:t>
      </w:r>
      <w:r>
        <w:rPr>
          <w:rFonts w:ascii="宋体" w:hAnsi="宋体" w:cs="宋体"/>
          <w:sz w:val="21"/>
          <w:szCs w:val="21"/>
        </w:rPr>
        <w:t>需要说明的其他文件和材料</w:t>
      </w:r>
      <w:bookmarkEnd w:id="53"/>
    </w:p>
    <w:p>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外层包装（封签）</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____________________（供应商名称）</w:t>
      </w: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竞争性磋商</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项目名称：IDC机房机柜托管</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项目编号：QSZB-Z(F)-A22308(CS)</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供应商地址：</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spacing w:val="-6"/>
          <w:sz w:val="21"/>
          <w:szCs w:val="21"/>
        </w:rPr>
        <w:t>供应商授权代表签名：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rPr>
          <w:rFonts w:ascii="宋体" w:hAnsi="宋体"/>
          <w:spacing w:val="-6"/>
          <w:sz w:val="21"/>
          <w:szCs w:val="21"/>
        </w:rPr>
      </w:pPr>
      <w:r>
        <w:rPr>
          <w:rFonts w:ascii="宋体" w:hAnsi="宋体"/>
          <w:bCs/>
          <w:spacing w:val="-6"/>
          <w:sz w:val="21"/>
          <w:szCs w:val="21"/>
        </w:rPr>
        <w:br w:type="page"/>
      </w:r>
      <w:r>
        <w:rPr>
          <w:rFonts w:hint="eastAsia" w:ascii="宋体" w:hAnsi="宋体"/>
          <w:spacing w:val="-6"/>
          <w:sz w:val="21"/>
          <w:szCs w:val="21"/>
        </w:rPr>
        <w:t>封面</w:t>
      </w:r>
    </w:p>
    <w:p>
      <w:pPr>
        <w:adjustRightInd w:val="0"/>
        <w:snapToGrid w:val="0"/>
        <w:spacing w:line="288" w:lineRule="auto"/>
        <w:jc w:val="right"/>
        <w:rPr>
          <w:rFonts w:ascii="宋体" w:hAnsi="宋体"/>
          <w:spacing w:val="-6"/>
          <w:sz w:val="21"/>
          <w:szCs w:val="21"/>
        </w:rPr>
      </w:pPr>
      <w:r>
        <w:rPr>
          <w:rFonts w:hint="eastAsia" w:ascii="宋体" w:hAnsi="宋体"/>
          <w:b/>
          <w:bCs/>
          <w:spacing w:val="-6"/>
          <w:sz w:val="21"/>
          <w:szCs w:val="21"/>
        </w:rPr>
        <w:t>正本或副本</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____________________（供应商名称）</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竞争性磋商</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项目名称：IDC机房机柜托管</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项目编号：QSZB-Z(F)-A22308(CS)</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供应商地址：</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供应商授权代表签名：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jc w:val="center"/>
        <w:rPr>
          <w:rFonts w:ascii="宋体" w:hAnsi="宋体"/>
          <w:bCs/>
          <w:spacing w:val="-6"/>
          <w:sz w:val="21"/>
          <w:szCs w:val="21"/>
        </w:rPr>
      </w:pPr>
      <w:r>
        <w:rPr>
          <w:rFonts w:ascii="宋体" w:hAnsi="宋体"/>
          <w:bCs/>
          <w:spacing w:val="-6"/>
          <w:sz w:val="21"/>
          <w:szCs w:val="21"/>
        </w:rPr>
        <w:br w:type="page"/>
      </w:r>
    </w:p>
    <w:p>
      <w:pPr>
        <w:adjustRightInd w:val="0"/>
        <w:snapToGrid w:val="0"/>
        <w:spacing w:line="288" w:lineRule="auto"/>
        <w:jc w:val="center"/>
        <w:outlineLvl w:val="1"/>
        <w:rPr>
          <w:rFonts w:ascii="宋体" w:hAnsi="宋体"/>
          <w:b/>
          <w:spacing w:val="-6"/>
          <w:sz w:val="32"/>
          <w:szCs w:val="32"/>
        </w:rPr>
      </w:pPr>
      <w:r>
        <w:rPr>
          <w:rFonts w:hint="eastAsia" w:ascii="宋体" w:hAnsi="宋体"/>
          <w:b/>
          <w:spacing w:val="-6"/>
          <w:sz w:val="32"/>
          <w:szCs w:val="32"/>
        </w:rPr>
        <w:t>资格文件</w:t>
      </w:r>
    </w:p>
    <w:p>
      <w:pPr>
        <w:pStyle w:val="17"/>
        <w:adjustRightInd w:val="0"/>
        <w:snapToGrid w:val="0"/>
        <w:spacing w:line="288" w:lineRule="auto"/>
        <w:ind w:left="0" w:firstLine="0" w:firstLineChars="0"/>
        <w:rPr>
          <w:rFonts w:ascii="宋体" w:hAnsi="宋体"/>
          <w:bCs/>
          <w:spacing w:val="-6"/>
          <w:sz w:val="21"/>
          <w:szCs w:val="21"/>
        </w:rPr>
      </w:pPr>
    </w:p>
    <w:p>
      <w:pPr>
        <w:adjustRightInd w:val="0"/>
        <w:snapToGrid w:val="0"/>
        <w:spacing w:line="288" w:lineRule="auto"/>
        <w:jc w:val="center"/>
        <w:rPr>
          <w:rFonts w:ascii="宋体" w:hAnsi="宋体" w:cs="宋体"/>
          <w:b/>
          <w:bCs/>
          <w:sz w:val="21"/>
          <w:szCs w:val="21"/>
        </w:rPr>
      </w:pPr>
      <w:bookmarkStart w:id="54" w:name="_Hlk94097338"/>
      <w:r>
        <w:rPr>
          <w:rFonts w:hint="eastAsia" w:ascii="宋体" w:hAnsi="宋体" w:cs="宋体"/>
          <w:b/>
          <w:bCs/>
          <w:sz w:val="21"/>
          <w:szCs w:val="21"/>
        </w:rPr>
        <w:t>资格审查要求的资格证明材料(均需加盖公章)</w:t>
      </w:r>
    </w:p>
    <w:bookmarkEnd w:id="54"/>
    <w:p>
      <w:pPr>
        <w:pStyle w:val="17"/>
        <w:adjustRightInd w:val="0"/>
        <w:snapToGrid w:val="0"/>
        <w:spacing w:line="288" w:lineRule="auto"/>
        <w:ind w:left="0" w:firstLine="0" w:firstLineChars="0"/>
        <w:rPr>
          <w:rFonts w:ascii="宋体" w:hAnsi="宋体"/>
          <w:bCs/>
          <w:spacing w:val="-6"/>
          <w:sz w:val="21"/>
          <w:szCs w:val="21"/>
        </w:rPr>
      </w:pPr>
    </w:p>
    <w:p>
      <w:pPr>
        <w:pStyle w:val="17"/>
        <w:adjustRightInd w:val="0"/>
        <w:snapToGrid w:val="0"/>
        <w:spacing w:line="288" w:lineRule="auto"/>
        <w:ind w:left="0" w:firstLine="0" w:firstLineChars="0"/>
        <w:rPr>
          <w:rFonts w:ascii="宋体" w:hAnsi="宋体"/>
          <w:bCs/>
          <w:spacing w:val="-6"/>
          <w:sz w:val="21"/>
          <w:szCs w:val="21"/>
        </w:rPr>
      </w:pPr>
    </w:p>
    <w:p>
      <w:pPr>
        <w:pStyle w:val="17"/>
        <w:adjustRightInd w:val="0"/>
        <w:snapToGrid w:val="0"/>
        <w:spacing w:line="288" w:lineRule="auto"/>
        <w:ind w:left="0" w:firstLine="0" w:firstLineChars="0"/>
        <w:rPr>
          <w:rFonts w:ascii="宋体" w:hAnsi="宋体"/>
          <w:bCs/>
          <w:spacing w:val="-6"/>
          <w:sz w:val="21"/>
          <w:szCs w:val="21"/>
        </w:rPr>
      </w:pPr>
    </w:p>
    <w:p>
      <w:pPr>
        <w:pStyle w:val="17"/>
        <w:adjustRightInd w:val="0"/>
        <w:snapToGrid w:val="0"/>
        <w:spacing w:line="288" w:lineRule="auto"/>
        <w:ind w:left="0" w:firstLine="0" w:firstLineChars="0"/>
        <w:jc w:val="center"/>
        <w:outlineLvl w:val="2"/>
        <w:rPr>
          <w:rFonts w:ascii="宋体" w:hAnsi="宋体"/>
          <w:b/>
          <w:spacing w:val="-6"/>
          <w:sz w:val="21"/>
          <w:szCs w:val="21"/>
        </w:rPr>
      </w:pPr>
      <w:r>
        <w:rPr>
          <w:rFonts w:hint="eastAsia" w:ascii="宋体" w:hAnsi="宋体"/>
          <w:b/>
          <w:spacing w:val="-6"/>
          <w:sz w:val="21"/>
          <w:szCs w:val="21"/>
        </w:rPr>
        <w:t>（1）有效的法人或者其他组织的营业执照等证明文件，自然人的身份证明（复印件）</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说明</w:t>
      </w:r>
      <w:r>
        <w:rPr>
          <w:rFonts w:ascii="宋体" w:hAnsi="宋体"/>
          <w:bCs/>
          <w:spacing w:val="-6"/>
          <w:sz w:val="21"/>
          <w:szCs w:val="21"/>
        </w:rPr>
        <w:t>：</w:t>
      </w:r>
    </w:p>
    <w:p>
      <w:pPr>
        <w:adjustRightInd w:val="0"/>
        <w:snapToGrid w:val="0"/>
        <w:spacing w:line="288" w:lineRule="auto"/>
        <w:rPr>
          <w:rFonts w:ascii="宋体" w:hAnsi="宋体"/>
          <w:bCs/>
          <w:sz w:val="21"/>
          <w:szCs w:val="21"/>
        </w:rPr>
      </w:pPr>
      <w:r>
        <w:rPr>
          <w:rFonts w:hint="eastAsia" w:ascii="宋体" w:hAnsi="宋体"/>
          <w:bCs/>
          <w:sz w:val="21"/>
          <w:szCs w:val="21"/>
        </w:rPr>
        <w:t>1</w:t>
      </w:r>
      <w:r>
        <w:rPr>
          <w:rFonts w:ascii="宋体" w:hAnsi="宋体"/>
          <w:bCs/>
          <w:sz w:val="21"/>
          <w:szCs w:val="21"/>
        </w:rPr>
        <w:t>.</w:t>
      </w:r>
      <w:r>
        <w:rPr>
          <w:rFonts w:hint="eastAsia" w:ascii="宋体" w:hAnsi="宋体"/>
          <w:bCs/>
          <w:sz w:val="21"/>
          <w:szCs w:val="21"/>
        </w:rPr>
        <w:t>如供应商是企业（包括合伙企业），提供在工商部门注册的有效“企业法人营业执照”或“营业执照”；</w:t>
      </w:r>
    </w:p>
    <w:p>
      <w:pPr>
        <w:adjustRightInd w:val="0"/>
        <w:snapToGrid w:val="0"/>
        <w:spacing w:line="288" w:lineRule="auto"/>
        <w:rPr>
          <w:rFonts w:ascii="宋体" w:hAnsi="宋体"/>
          <w:bCs/>
          <w:sz w:val="21"/>
          <w:szCs w:val="21"/>
        </w:rPr>
      </w:pPr>
      <w:r>
        <w:rPr>
          <w:rFonts w:hint="eastAsia" w:ascii="宋体" w:hAnsi="宋体"/>
          <w:bCs/>
          <w:sz w:val="21"/>
          <w:szCs w:val="21"/>
        </w:rPr>
        <w:t>2</w:t>
      </w:r>
      <w:r>
        <w:rPr>
          <w:rFonts w:ascii="宋体" w:hAnsi="宋体"/>
          <w:bCs/>
          <w:sz w:val="21"/>
          <w:szCs w:val="21"/>
        </w:rPr>
        <w:t>.</w:t>
      </w:r>
      <w:r>
        <w:rPr>
          <w:rFonts w:hint="eastAsia" w:ascii="宋体" w:hAnsi="宋体"/>
          <w:bCs/>
          <w:sz w:val="21"/>
          <w:szCs w:val="21"/>
        </w:rPr>
        <w:t>如供应商是事业单位，提供有效的“事业单位法人证书”；</w:t>
      </w:r>
    </w:p>
    <w:p>
      <w:pPr>
        <w:adjustRightInd w:val="0"/>
        <w:snapToGrid w:val="0"/>
        <w:spacing w:line="288" w:lineRule="auto"/>
        <w:rPr>
          <w:rFonts w:ascii="宋体" w:hAnsi="宋体"/>
          <w:bCs/>
          <w:sz w:val="21"/>
          <w:szCs w:val="21"/>
        </w:rPr>
      </w:pPr>
      <w:r>
        <w:rPr>
          <w:rFonts w:hint="eastAsia" w:ascii="宋体" w:hAnsi="宋体"/>
          <w:bCs/>
          <w:sz w:val="21"/>
          <w:szCs w:val="21"/>
        </w:rPr>
        <w:t>3</w:t>
      </w:r>
      <w:r>
        <w:rPr>
          <w:rFonts w:ascii="宋体" w:hAnsi="宋体"/>
          <w:bCs/>
          <w:sz w:val="21"/>
          <w:szCs w:val="21"/>
        </w:rPr>
        <w:t>.</w:t>
      </w:r>
      <w:r>
        <w:rPr>
          <w:rFonts w:hint="eastAsia" w:ascii="宋体" w:hAnsi="宋体"/>
          <w:bCs/>
          <w:sz w:val="21"/>
          <w:szCs w:val="21"/>
        </w:rPr>
        <w:t>如供应商是非企业专业服务机构的，提供执业许可证等证明文件；</w:t>
      </w:r>
    </w:p>
    <w:p>
      <w:pPr>
        <w:adjustRightInd w:val="0"/>
        <w:snapToGrid w:val="0"/>
        <w:spacing w:line="288" w:lineRule="auto"/>
        <w:rPr>
          <w:rFonts w:ascii="宋体" w:hAnsi="宋体"/>
          <w:bCs/>
          <w:sz w:val="21"/>
          <w:szCs w:val="21"/>
        </w:rPr>
      </w:pPr>
      <w:r>
        <w:rPr>
          <w:rFonts w:hint="eastAsia" w:ascii="宋体" w:hAnsi="宋体"/>
          <w:bCs/>
          <w:sz w:val="21"/>
          <w:szCs w:val="21"/>
        </w:rPr>
        <w:t>4</w:t>
      </w:r>
      <w:r>
        <w:rPr>
          <w:rFonts w:ascii="宋体" w:hAnsi="宋体"/>
          <w:bCs/>
          <w:sz w:val="21"/>
          <w:szCs w:val="21"/>
        </w:rPr>
        <w:t>.</w:t>
      </w:r>
      <w:r>
        <w:rPr>
          <w:rFonts w:hint="eastAsia" w:ascii="宋体" w:hAnsi="宋体"/>
          <w:bCs/>
          <w:sz w:val="21"/>
          <w:szCs w:val="21"/>
        </w:rPr>
        <w:t>如供应商是个体工商户，提供有效的“个体工商户营业执照”；</w:t>
      </w:r>
    </w:p>
    <w:p>
      <w:pPr>
        <w:adjustRightInd w:val="0"/>
        <w:snapToGrid w:val="0"/>
        <w:spacing w:line="288" w:lineRule="auto"/>
        <w:rPr>
          <w:rFonts w:ascii="宋体" w:hAnsi="宋体"/>
          <w:bCs/>
          <w:sz w:val="21"/>
          <w:szCs w:val="21"/>
        </w:rPr>
      </w:pPr>
      <w:r>
        <w:rPr>
          <w:rFonts w:hint="eastAsia" w:ascii="宋体" w:hAnsi="宋体"/>
          <w:bCs/>
          <w:sz w:val="21"/>
          <w:szCs w:val="21"/>
        </w:rPr>
        <w:t>5</w:t>
      </w:r>
      <w:r>
        <w:rPr>
          <w:rFonts w:ascii="宋体" w:hAnsi="宋体"/>
          <w:bCs/>
          <w:sz w:val="21"/>
          <w:szCs w:val="21"/>
        </w:rPr>
        <w:t>.</w:t>
      </w:r>
      <w:r>
        <w:rPr>
          <w:rFonts w:hint="eastAsia" w:ascii="宋体" w:hAnsi="宋体"/>
          <w:bCs/>
          <w:sz w:val="21"/>
          <w:szCs w:val="21"/>
        </w:rPr>
        <w:t>如供应商是自然人，提供有效的自然人身份证明。</w:t>
      </w:r>
    </w:p>
    <w:p>
      <w:pPr>
        <w:adjustRightInd w:val="0"/>
        <w:snapToGrid w:val="0"/>
        <w:spacing w:line="288" w:lineRule="auto"/>
        <w:rPr>
          <w:rFonts w:ascii="宋体" w:hAnsi="宋体"/>
          <w:b/>
          <w:sz w:val="21"/>
          <w:szCs w:val="21"/>
        </w:rPr>
      </w:pPr>
    </w:p>
    <w:p>
      <w:pPr>
        <w:widowControl/>
        <w:adjustRightInd w:val="0"/>
        <w:snapToGrid w:val="0"/>
        <w:spacing w:line="288" w:lineRule="auto"/>
        <w:jc w:val="left"/>
        <w:rPr>
          <w:rFonts w:ascii="宋体" w:hAnsi="宋体"/>
          <w:b/>
          <w:sz w:val="21"/>
          <w:szCs w:val="21"/>
        </w:rPr>
      </w:pPr>
      <w:r>
        <w:rPr>
          <w:rFonts w:ascii="宋体" w:hAnsi="宋体"/>
          <w:b/>
          <w:sz w:val="21"/>
          <w:szCs w:val="21"/>
        </w:rPr>
        <w:br w:type="page"/>
      </w:r>
    </w:p>
    <w:p>
      <w:pPr>
        <w:adjustRightInd w:val="0"/>
        <w:snapToGrid w:val="0"/>
        <w:spacing w:line="288" w:lineRule="auto"/>
        <w:jc w:val="center"/>
        <w:outlineLvl w:val="2"/>
        <w:rPr>
          <w:rFonts w:ascii="宋体" w:hAnsi="宋体"/>
          <w:b/>
          <w:bCs/>
          <w:color w:val="000000"/>
          <w:sz w:val="21"/>
          <w:szCs w:val="21"/>
          <w:shd w:val="clear" w:color="auto" w:fill="FFFFFF"/>
        </w:rPr>
      </w:pPr>
      <w:r>
        <w:rPr>
          <w:rFonts w:hint="eastAsia" w:ascii="宋体" w:hAnsi="宋体"/>
          <w:b/>
          <w:spacing w:val="-6"/>
          <w:sz w:val="21"/>
          <w:szCs w:val="21"/>
        </w:rPr>
        <w:t>（2）</w:t>
      </w:r>
      <w:r>
        <w:rPr>
          <w:rFonts w:hint="eastAsia" w:ascii="宋体" w:hAnsi="宋体"/>
          <w:b/>
          <w:bCs/>
          <w:sz w:val="21"/>
          <w:szCs w:val="21"/>
        </w:rPr>
        <w:t>符合参加政府采购活动应当具备的一般条件的承诺函</w:t>
      </w:r>
    </w:p>
    <w:p>
      <w:pPr>
        <w:adjustRightInd w:val="0"/>
        <w:snapToGrid w:val="0"/>
        <w:spacing w:line="288" w:lineRule="auto"/>
        <w:rPr>
          <w:rFonts w:ascii="宋体" w:hAnsi="宋体"/>
          <w:color w:val="000000"/>
          <w:sz w:val="21"/>
          <w:szCs w:val="21"/>
          <w:shd w:val="clear" w:color="auto" w:fill="FFFFFF"/>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致：浙江大学、浙江求是招标代理有限公司</w:t>
      </w:r>
    </w:p>
    <w:p>
      <w:pPr>
        <w:adjustRightInd w:val="0"/>
        <w:snapToGrid w:val="0"/>
        <w:spacing w:line="288" w:lineRule="auto"/>
        <w:rPr>
          <w:rFonts w:ascii="宋体" w:hAnsi="宋体"/>
          <w:spacing w:val="-6"/>
          <w:sz w:val="21"/>
          <w:szCs w:val="21"/>
        </w:rPr>
      </w:pP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（供应商名称）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 xml:space="preserve">（IDC机房机柜托管） </w:t>
      </w:r>
      <w:r>
        <w:rPr>
          <w:rFonts w:hint="eastAsia" w:ascii="宋体" w:hAnsi="宋体"/>
          <w:spacing w:val="-6"/>
          <w:sz w:val="21"/>
          <w:szCs w:val="21"/>
        </w:rPr>
        <w:t>项目的采购活动并承诺如下：</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一、我方满足《中华人民共和国政府采购法》第二十二条规定：</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（一）具有独立承担民事责任的能力；</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（二）具有良好的商业信誉和健全的财务会计制度；</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（三）具有履行合同所必需的设备和专业技术能力；</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（四）有依法缴纳税收和社会保障资金的良好记录；</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（五）参加本项目政府采购活动前三年内，在经营活动中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（六）法律、行政法规规定的其他条件。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二、未被信用中国（</w:t>
      </w:r>
      <w:r>
        <w:rPr>
          <w:rFonts w:ascii="宋体" w:hAnsi="宋体"/>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三、不存在以下情况：</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供应商名称（盖章）：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供应商代表签名：</w:t>
      </w:r>
    </w:p>
    <w:p>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日期：     年   月   日</w:t>
      </w:r>
    </w:p>
    <w:p>
      <w:pPr>
        <w:rPr>
          <w:rFonts w:hint="eastAsia" w:ascii="宋体" w:hAnsi="宋体"/>
          <w:b/>
          <w:bCs/>
          <w:spacing w:val="-6"/>
          <w:sz w:val="21"/>
          <w:szCs w:val="21"/>
        </w:rPr>
      </w:pPr>
      <w:r>
        <w:rPr>
          <w:rFonts w:hint="eastAsia" w:ascii="宋体" w:hAnsi="宋体"/>
          <w:b/>
          <w:bCs/>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（3）落实政府采购政策需满足的资格要求：</w:t>
      </w:r>
    </w:p>
    <w:p>
      <w:pPr>
        <w:adjustRightInd w:val="0"/>
        <w:snapToGrid w:val="0"/>
        <w:spacing w:line="288" w:lineRule="auto"/>
        <w:ind w:firstLine="498" w:firstLineChars="236"/>
        <w:jc w:val="center"/>
        <w:outlineLvl w:val="2"/>
        <w:rPr>
          <w:rFonts w:ascii="宋体" w:hAnsi="宋体"/>
          <w:b/>
          <w:bCs/>
          <w:sz w:val="21"/>
          <w:szCs w:val="21"/>
        </w:rPr>
      </w:pPr>
      <w:r>
        <w:rPr>
          <w:rFonts w:ascii="宋体" w:hAnsi="宋体"/>
          <w:b/>
          <w:bCs/>
          <w:sz w:val="21"/>
          <w:szCs w:val="21"/>
        </w:rPr>
        <w:t>中小企业声明函（服务）</w:t>
      </w:r>
      <w:r>
        <w:rPr>
          <w:rFonts w:hint="eastAsia" w:ascii="宋体" w:hAnsi="宋体"/>
          <w:b/>
          <w:bCs/>
          <w:sz w:val="21"/>
          <w:szCs w:val="21"/>
        </w:rPr>
        <w:t>（若属于中小企业）</w:t>
      </w:r>
    </w:p>
    <w:p>
      <w:pPr>
        <w:adjustRightInd w:val="0"/>
        <w:snapToGrid w:val="0"/>
        <w:spacing w:line="288" w:lineRule="auto"/>
        <w:ind w:firstLine="498" w:firstLineChars="236"/>
        <w:rPr>
          <w:rFonts w:ascii="宋体" w:hAnsi="宋体"/>
          <w:b/>
          <w:sz w:val="21"/>
          <w:szCs w:val="21"/>
        </w:rPr>
      </w:pPr>
    </w:p>
    <w:p>
      <w:pPr>
        <w:adjustRightInd w:val="0"/>
        <w:snapToGrid w:val="0"/>
        <w:spacing w:line="288" w:lineRule="auto"/>
        <w:ind w:firstLine="495" w:firstLineChars="236"/>
        <w:rPr>
          <w:rFonts w:ascii="宋体" w:hAnsi="宋体"/>
          <w:sz w:val="21"/>
          <w:szCs w:val="21"/>
        </w:rPr>
      </w:pPr>
      <w:r>
        <w:rPr>
          <w:rFonts w:ascii="宋体" w:hAnsi="宋体"/>
          <w:sz w:val="21"/>
          <w:szCs w:val="21"/>
        </w:rPr>
        <w:t>本公司郑重声明，根据《政府采购促进中小企业发展管理办法》（财库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号）的规定，本公司参加</w:t>
      </w:r>
      <w:r>
        <w:rPr>
          <w:rFonts w:ascii="宋体" w:hAnsi="宋体"/>
          <w:i/>
          <w:sz w:val="21"/>
          <w:szCs w:val="21"/>
          <w:u w:val="single"/>
        </w:rPr>
        <w:t>（</w:t>
      </w:r>
      <w:r>
        <w:rPr>
          <w:rFonts w:hint="eastAsia" w:ascii="宋体" w:hAnsi="宋体"/>
          <w:i/>
          <w:sz w:val="21"/>
          <w:szCs w:val="21"/>
          <w:u w:val="single"/>
        </w:rPr>
        <w:t>浙江大学</w:t>
      </w:r>
      <w:r>
        <w:rPr>
          <w:rFonts w:ascii="宋体" w:hAnsi="宋体"/>
          <w:i/>
          <w:sz w:val="21"/>
          <w:szCs w:val="21"/>
          <w:u w:val="single"/>
        </w:rPr>
        <w:t>）</w:t>
      </w:r>
      <w:r>
        <w:rPr>
          <w:rFonts w:ascii="宋体" w:hAnsi="宋体"/>
          <w:sz w:val="21"/>
          <w:szCs w:val="21"/>
        </w:rPr>
        <w:t>的</w:t>
      </w:r>
      <w:r>
        <w:rPr>
          <w:rFonts w:ascii="宋体" w:hAnsi="宋体"/>
          <w:i/>
          <w:sz w:val="21"/>
          <w:szCs w:val="21"/>
          <w:u w:val="single"/>
        </w:rPr>
        <w:t>（</w:t>
      </w:r>
      <w:r>
        <w:rPr>
          <w:rFonts w:hint="eastAsia" w:ascii="宋体" w:hAnsi="宋体"/>
          <w:i/>
          <w:sz w:val="21"/>
          <w:szCs w:val="21"/>
          <w:u w:val="single"/>
        </w:rPr>
        <w:t>IDC机房机柜托管</w:t>
      </w:r>
      <w:r>
        <w:rPr>
          <w:rFonts w:ascii="宋体" w:hAnsi="宋体"/>
          <w:i/>
          <w:sz w:val="21"/>
          <w:szCs w:val="21"/>
          <w:u w:val="single"/>
        </w:rPr>
        <w:t>）</w:t>
      </w:r>
      <w:r>
        <w:rPr>
          <w:rFonts w:ascii="宋体" w:hAnsi="宋体"/>
          <w:sz w:val="21"/>
          <w:szCs w:val="21"/>
        </w:rPr>
        <w:t>采购活动，服务全部由符合政策要求的中小企业承接。相关企业（含签订分包意向协议的中小企业）的具体情况如下：</w:t>
      </w:r>
    </w:p>
    <w:p>
      <w:pPr>
        <w:adjustRightInd w:val="0"/>
        <w:snapToGrid w:val="0"/>
        <w:spacing w:line="288" w:lineRule="auto"/>
        <w:ind w:firstLine="495" w:firstLineChars="236"/>
        <w:rPr>
          <w:rFonts w:ascii="宋体" w:hAnsi="宋体"/>
          <w:i/>
          <w:sz w:val="21"/>
          <w:szCs w:val="21"/>
          <w:u w:val="single"/>
        </w:rPr>
      </w:pPr>
      <w:r>
        <w:rPr>
          <w:rFonts w:hint="eastAsia" w:ascii="宋体" w:hAnsi="宋体"/>
          <w:i/>
          <w:sz w:val="21"/>
          <w:szCs w:val="21"/>
          <w:u w:val="single"/>
        </w:rPr>
        <w:t>1</w:t>
      </w:r>
      <w:r>
        <w:rPr>
          <w:rFonts w:ascii="宋体" w:hAnsi="宋体"/>
          <w:i/>
          <w:sz w:val="21"/>
          <w:szCs w:val="21"/>
          <w:u w:val="single"/>
        </w:rPr>
        <w:t>.（</w:t>
      </w:r>
      <w:r>
        <w:rPr>
          <w:rFonts w:hint="eastAsia" w:ascii="宋体" w:hAnsi="宋体"/>
          <w:i/>
          <w:sz w:val="21"/>
          <w:szCs w:val="21"/>
          <w:u w:val="single"/>
        </w:rPr>
        <w:t>IDC机房机柜托管</w:t>
      </w:r>
      <w:r>
        <w:rPr>
          <w:rFonts w:ascii="宋体" w:hAnsi="宋体"/>
          <w:i/>
          <w:sz w:val="21"/>
          <w:szCs w:val="21"/>
          <w:u w:val="single"/>
        </w:rPr>
        <w:t>），属于（</w:t>
      </w:r>
      <w:r>
        <w:rPr>
          <w:rFonts w:hint="eastAsia" w:ascii="宋体" w:hAnsi="宋体"/>
          <w:i/>
          <w:sz w:val="21"/>
          <w:szCs w:val="21"/>
          <w:u w:val="single"/>
        </w:rPr>
        <w:t>其他未列明行业</w:t>
      </w:r>
      <w:r>
        <w:rPr>
          <w:rFonts w:ascii="宋体" w:hAnsi="宋体"/>
          <w:i/>
          <w:sz w:val="21"/>
          <w:szCs w:val="21"/>
          <w:u w:val="single"/>
        </w:rPr>
        <w:t>）；</w:t>
      </w:r>
      <w:r>
        <w:rPr>
          <w:rFonts w:ascii="宋体" w:hAnsi="宋体"/>
          <w:sz w:val="21"/>
          <w:szCs w:val="21"/>
        </w:rPr>
        <w:t>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pPr>
        <w:adjustRightInd w:val="0"/>
        <w:snapToGrid w:val="0"/>
        <w:spacing w:line="288" w:lineRule="auto"/>
        <w:ind w:firstLine="495" w:firstLineChars="236"/>
        <w:rPr>
          <w:rFonts w:ascii="宋体" w:hAnsi="宋体"/>
          <w:sz w:val="21"/>
          <w:szCs w:val="21"/>
        </w:rPr>
      </w:pPr>
    </w:p>
    <w:p>
      <w:pPr>
        <w:adjustRightInd w:val="0"/>
        <w:snapToGrid w:val="0"/>
        <w:spacing w:line="288" w:lineRule="auto"/>
        <w:ind w:firstLine="495" w:firstLineChars="236"/>
        <w:rPr>
          <w:rFonts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sz w:val="21"/>
          <w:szCs w:val="21"/>
        </w:rPr>
      </w:pPr>
      <w:r>
        <w:rPr>
          <w:rFonts w:ascii="宋体" w:hAnsi="宋体"/>
          <w:sz w:val="21"/>
          <w:szCs w:val="21"/>
        </w:rPr>
        <w:t>本企业对上述声明内容的真实性负责。如有虚假，将依法承担相应责任。</w:t>
      </w:r>
    </w:p>
    <w:p>
      <w:pPr>
        <w:adjustRightInd w:val="0"/>
        <w:snapToGrid w:val="0"/>
        <w:spacing w:line="288" w:lineRule="auto"/>
        <w:ind w:firstLine="495" w:firstLineChars="236"/>
        <w:rPr>
          <w:rFonts w:ascii="宋体" w:hAnsi="宋体"/>
          <w:sz w:val="21"/>
          <w:szCs w:val="21"/>
        </w:rPr>
      </w:pPr>
      <w:r>
        <w:rPr>
          <w:rFonts w:ascii="宋体" w:hAnsi="宋体"/>
          <w:sz w:val="21"/>
          <w:szCs w:val="21"/>
        </w:rPr>
        <w:t>企业名称（盖章）：</w:t>
      </w:r>
    </w:p>
    <w:p>
      <w:pPr>
        <w:adjustRightInd w:val="0"/>
        <w:snapToGrid w:val="0"/>
        <w:spacing w:line="288" w:lineRule="auto"/>
        <w:ind w:firstLine="495" w:firstLineChars="236"/>
        <w:rPr>
          <w:rFonts w:ascii="宋体" w:hAnsi="宋体"/>
          <w:sz w:val="21"/>
          <w:szCs w:val="21"/>
        </w:rPr>
      </w:pPr>
      <w:r>
        <w:rPr>
          <w:rFonts w:ascii="宋体" w:hAnsi="宋体"/>
          <w:sz w:val="21"/>
          <w:szCs w:val="21"/>
        </w:rPr>
        <w:t>日期：</w:t>
      </w:r>
    </w:p>
    <w:p>
      <w:pPr>
        <w:adjustRightInd w:val="0"/>
        <w:snapToGrid w:val="0"/>
        <w:spacing w:line="288" w:lineRule="auto"/>
        <w:ind w:firstLine="495" w:firstLineChars="236"/>
        <w:rPr>
          <w:rFonts w:ascii="宋体" w:hAnsi="宋体"/>
          <w:sz w:val="21"/>
          <w:szCs w:val="21"/>
        </w:rPr>
      </w:pP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注：</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1.从业人员、营业收入、资产总额填报上一年度数据，无上一年度数据的新成立企业可不填报。</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2.中小企业参加政府采购活动，应当出具财库〔2020〕46号文件规定的《中小企业声明函》，否则不得享受相关中小企业扶持政策。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3.本项目仅以《中小企业声明函》作为评判供应商是否属于中小企业的唯一依据。</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4.供应商提供《中小企业声明函》内容不实的，属于提供虚假材料谋取中标、成交，依照《中华人民共和国政府采购法》等国家有关规定追究相应责任。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5.《中小企业声明函》填写不全（从业人员、营业收入、资产总额在中小企业划型标准规定中不涉及的除外），或未按照《中小企业声明函》要求填写的，视为未提供《中小企业声明函》，不享受中小企业扶持政策。</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6.如项目包含“多件”标的物的，需按标的物项数逐项填写。</w:t>
      </w:r>
    </w:p>
    <w:p>
      <w:pPr>
        <w:adjustRightInd w:val="0"/>
        <w:snapToGrid w:val="0"/>
        <w:spacing w:line="288" w:lineRule="auto"/>
        <w:jc w:val="center"/>
        <w:outlineLvl w:val="2"/>
        <w:rPr>
          <w:rFonts w:ascii="宋体" w:hAnsi="宋体" w:cs="宋体"/>
          <w:color w:val="000000"/>
          <w:kern w:val="0"/>
          <w:sz w:val="21"/>
          <w:szCs w:val="21"/>
          <w:highlight w:val="yellow"/>
        </w:rPr>
      </w:pPr>
      <w:r>
        <w:rPr>
          <w:rFonts w:ascii="宋体" w:hAnsi="宋体"/>
          <w:b/>
          <w:bCs/>
          <w:sz w:val="21"/>
          <w:szCs w:val="21"/>
        </w:rPr>
        <w:br w:type="page"/>
      </w:r>
      <w:r>
        <w:rPr>
          <w:rFonts w:hint="eastAsia" w:ascii="宋体" w:hAnsi="宋体" w:cs="宋体"/>
          <w:b/>
          <w:spacing w:val="-6"/>
          <w:sz w:val="21"/>
          <w:szCs w:val="21"/>
        </w:rPr>
        <w:t>属于监狱企业的证明文件（若属于监狱企业）</w:t>
      </w:r>
    </w:p>
    <w:p>
      <w:pPr>
        <w:adjustRightInd w:val="0"/>
        <w:snapToGrid w:val="0"/>
        <w:spacing w:line="288" w:lineRule="auto"/>
        <w:rPr>
          <w:rFonts w:ascii="宋体" w:hAnsi="宋体" w:cs="宋体"/>
          <w:color w:val="000000"/>
          <w:kern w:val="0"/>
          <w:sz w:val="21"/>
          <w:szCs w:val="21"/>
        </w:rPr>
      </w:pPr>
    </w:p>
    <w:p>
      <w:pPr>
        <w:adjustRightInd w:val="0"/>
        <w:snapToGrid w:val="0"/>
        <w:spacing w:line="288" w:lineRule="auto"/>
        <w:ind w:firstLine="373" w:firstLineChars="177"/>
        <w:rPr>
          <w:rFonts w:ascii="宋体" w:hAnsi="宋体"/>
          <w:b/>
          <w:bCs/>
          <w:sz w:val="21"/>
          <w:szCs w:val="21"/>
        </w:rPr>
      </w:pPr>
      <w:r>
        <w:rPr>
          <w:rFonts w:hint="eastAsia" w:ascii="宋体" w:hAnsi="宋体" w:cs="宋体"/>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pPr>
        <w:adjustRightInd w:val="0"/>
        <w:snapToGrid w:val="0"/>
        <w:spacing w:line="288" w:lineRule="auto"/>
        <w:jc w:val="center"/>
        <w:outlineLvl w:val="2"/>
        <w:rPr>
          <w:rFonts w:ascii="宋体" w:hAnsi="宋体" w:cs="宋体"/>
          <w:b/>
          <w:spacing w:val="-6"/>
          <w:sz w:val="21"/>
          <w:szCs w:val="21"/>
        </w:rPr>
      </w:pPr>
      <w:r>
        <w:rPr>
          <w:rFonts w:hint="eastAsia" w:ascii="宋体" w:hAnsi="宋体" w:cs="宋体"/>
          <w:b/>
          <w:spacing w:val="-6"/>
          <w:sz w:val="21"/>
          <w:szCs w:val="21"/>
        </w:rPr>
        <w:t>残疾人福利性单位声明函（若属于残疾人福利性单位）</w:t>
      </w:r>
    </w:p>
    <w:p>
      <w:pPr>
        <w:adjustRightInd w:val="0"/>
        <w:snapToGrid w:val="0"/>
        <w:spacing w:line="288" w:lineRule="auto"/>
        <w:rPr>
          <w:rFonts w:ascii="宋体" w:hAnsi="宋体"/>
          <w:b/>
          <w:spacing w:val="6"/>
          <w:sz w:val="21"/>
          <w:szCs w:val="21"/>
        </w:rPr>
      </w:pP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w:t>
      </w:r>
      <w:r>
        <w:rPr>
          <w:rFonts w:hint="eastAsia" w:ascii="宋体" w:hAnsi="宋体"/>
          <w:spacing w:val="6"/>
          <w:sz w:val="21"/>
          <w:szCs w:val="21"/>
          <w:u w:val="single"/>
        </w:rPr>
        <w:t>浙江大学</w:t>
      </w:r>
      <w:r>
        <w:rPr>
          <w:rFonts w:hint="eastAsia" w:ascii="宋体" w:hAnsi="宋体"/>
          <w:spacing w:val="6"/>
          <w:sz w:val="21"/>
          <w:szCs w:val="21"/>
        </w:rPr>
        <w:t>的</w:t>
      </w:r>
      <w:r>
        <w:rPr>
          <w:rFonts w:hint="eastAsia" w:ascii="宋体" w:hAnsi="宋体"/>
          <w:spacing w:val="6"/>
          <w:sz w:val="21"/>
          <w:szCs w:val="21"/>
          <w:u w:val="single"/>
        </w:rPr>
        <w:t>IDC机房机柜托管</w:t>
      </w:r>
      <w:r>
        <w:rPr>
          <w:rFonts w:hint="eastAsia" w:ascii="宋体" w:hAnsi="宋体"/>
          <w:spacing w:val="6"/>
          <w:sz w:val="21"/>
          <w:szCs w:val="21"/>
        </w:rPr>
        <w:t>项目采购活动提供由本单位提供服务。</w:t>
      </w: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单位名称（盖章）：</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日  期：</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19"/>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19"/>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32"/>
          <w:szCs w:val="32"/>
        </w:rPr>
      </w:pPr>
      <w:r>
        <w:rPr>
          <w:rFonts w:hint="eastAsia" w:ascii="宋体" w:hAnsi="宋体"/>
          <w:b/>
          <w:spacing w:val="-6"/>
          <w:sz w:val="32"/>
          <w:szCs w:val="32"/>
        </w:rPr>
        <w:t>报价文件</w:t>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（1）初次报价一览表</w:t>
      </w:r>
    </w:p>
    <w:p>
      <w:pPr>
        <w:adjustRightInd w:val="0"/>
        <w:snapToGrid w:val="0"/>
        <w:spacing w:line="288" w:lineRule="auto"/>
        <w:rPr>
          <w:rFonts w:ascii="宋体" w:hAnsi="宋体" w:cs="宋体"/>
          <w:sz w:val="21"/>
          <w:szCs w:val="21"/>
        </w:rPr>
      </w:pPr>
      <w:r>
        <w:rPr>
          <w:rFonts w:hint="eastAsia" w:ascii="宋体" w:hAnsi="宋体" w:cs="宋体"/>
          <w:sz w:val="21"/>
          <w:szCs w:val="21"/>
        </w:rPr>
        <w:t>采 购 人：浙江大学</w:t>
      </w:r>
    </w:p>
    <w:p>
      <w:pPr>
        <w:adjustRightInd w:val="0"/>
        <w:snapToGrid w:val="0"/>
        <w:spacing w:line="288" w:lineRule="auto"/>
        <w:rPr>
          <w:rFonts w:ascii="宋体" w:hAnsi="宋体" w:cs="宋体"/>
          <w:sz w:val="21"/>
          <w:szCs w:val="21"/>
        </w:rPr>
      </w:pPr>
      <w:r>
        <w:rPr>
          <w:rFonts w:hint="eastAsia" w:ascii="宋体" w:hAnsi="宋体" w:cs="宋体"/>
          <w:sz w:val="21"/>
          <w:szCs w:val="21"/>
        </w:rPr>
        <w:t>项目名称：IDC机房机柜托管</w:t>
      </w:r>
    </w:p>
    <w:p>
      <w:pPr>
        <w:adjustRightInd w:val="0"/>
        <w:snapToGrid w:val="0"/>
        <w:spacing w:line="288" w:lineRule="auto"/>
        <w:rPr>
          <w:rFonts w:ascii="宋体" w:hAnsi="宋体" w:cs="宋体"/>
          <w:sz w:val="21"/>
          <w:szCs w:val="21"/>
        </w:rPr>
      </w:pPr>
      <w:r>
        <w:rPr>
          <w:rFonts w:hint="eastAsia" w:ascii="宋体" w:hAnsi="宋体" w:cs="宋体"/>
          <w:sz w:val="21"/>
          <w:szCs w:val="21"/>
        </w:rPr>
        <w:t>项目编号：QSZB-Z(F)-A22308(CS)</w:t>
      </w:r>
    </w:p>
    <w:tbl>
      <w:tblPr>
        <w:tblStyle w:val="21"/>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规格型号</w:t>
            </w:r>
          </w:p>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cs="宋体"/>
                <w:b/>
                <w:bCs/>
                <w:sz w:val="21"/>
                <w:szCs w:val="21"/>
              </w:rPr>
            </w:pPr>
            <w:r>
              <w:rPr>
                <w:rFonts w:hint="eastAsia" w:ascii="宋体" w:hAnsi="宋体"/>
                <w:b/>
                <w:spacing w:val="-6"/>
                <w:sz w:val="21"/>
                <w:szCs w:val="21"/>
              </w:rPr>
              <w:t>说明：</w:t>
            </w:r>
            <w:r>
              <w:rPr>
                <w:rFonts w:hint="eastAsia" w:ascii="宋体" w:hAnsi="宋体"/>
                <w:bCs/>
                <w:spacing w:val="-6"/>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总价（人民币元）</w:t>
            </w:r>
          </w:p>
          <w:p>
            <w:pPr>
              <w:adjustRightInd w:val="0"/>
              <w:snapToGrid w:val="0"/>
              <w:spacing w:line="288" w:lineRule="auto"/>
              <w:rPr>
                <w:rFonts w:ascii="宋体" w:hAnsi="宋体" w:cs="宋体"/>
                <w:b/>
                <w:bCs/>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小写：_________________________</w:t>
            </w:r>
          </w:p>
          <w:p>
            <w:pPr>
              <w:adjustRightInd w:val="0"/>
              <w:snapToGrid w:val="0"/>
              <w:spacing w:line="288" w:lineRule="auto"/>
              <w:rPr>
                <w:rFonts w:ascii="宋体" w:hAnsi="宋体" w:cs="宋体"/>
                <w:b/>
                <w:bCs/>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大写：_________________________</w:t>
            </w:r>
          </w:p>
          <w:p>
            <w:pPr>
              <w:adjustRightInd w:val="0"/>
              <w:snapToGrid w:val="0"/>
              <w:spacing w:line="288" w:lineRule="auto"/>
              <w:rPr>
                <w:rFonts w:ascii="宋体" w:hAnsi="宋体" w:cs="宋体"/>
                <w:b/>
                <w:bCs/>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rPr>
          <w:rFonts w:ascii="宋体" w:hAnsi="宋体"/>
          <w:bCs/>
          <w:spacing w:val="-6"/>
          <w:sz w:val="21"/>
          <w:szCs w:val="21"/>
        </w:rPr>
      </w:pPr>
      <w:r>
        <w:rPr>
          <w:rFonts w:ascii="宋体" w:hAnsi="宋体"/>
          <w:bCs/>
          <w:spacing w:val="-6"/>
          <w:sz w:val="21"/>
          <w:szCs w:val="21"/>
        </w:rPr>
        <w:t>1.</w:t>
      </w:r>
      <w:r>
        <w:rPr>
          <w:rFonts w:hint="eastAsia" w:ascii="宋体" w:hAnsi="宋体"/>
          <w:bCs/>
          <w:spacing w:val="-6"/>
          <w:sz w:val="21"/>
          <w:szCs w:val="21"/>
        </w:rPr>
        <w:t>此表在不改变格式要求的情况下，可自行增行。</w:t>
      </w:r>
    </w:p>
    <w:p>
      <w:pPr>
        <w:adjustRightInd w:val="0"/>
        <w:snapToGrid w:val="0"/>
        <w:spacing w:line="288" w:lineRule="auto"/>
        <w:jc w:val="left"/>
        <w:rPr>
          <w:rFonts w:ascii="宋体" w:hAnsi="宋体"/>
          <w:b/>
          <w:spacing w:val="-6"/>
          <w:sz w:val="21"/>
          <w:szCs w:val="21"/>
        </w:rPr>
      </w:pPr>
      <w:r>
        <w:rPr>
          <w:rFonts w:ascii="宋体" w:hAnsi="宋体"/>
          <w:bCs/>
          <w:spacing w:val="-6"/>
          <w:sz w:val="21"/>
          <w:szCs w:val="21"/>
        </w:rPr>
        <w:t>2.有关本项目实施所涉及的一切费用均计入报价。</w:t>
      </w:r>
    </w:p>
    <w:p>
      <w:pPr>
        <w:adjustRightInd w:val="0"/>
        <w:snapToGrid w:val="0"/>
        <w:spacing w:line="288" w:lineRule="auto"/>
        <w:jc w:val="left"/>
        <w:rPr>
          <w:rFonts w:ascii="宋体" w:hAnsi="宋体"/>
          <w:b/>
          <w:spacing w:val="-6"/>
          <w:sz w:val="21"/>
          <w:szCs w:val="21"/>
        </w:rPr>
      </w:pPr>
      <w:r>
        <w:rPr>
          <w:rFonts w:ascii="宋体" w:hAnsi="宋体"/>
          <w:b/>
          <w:spacing w:val="-6"/>
          <w:sz w:val="21"/>
          <w:szCs w:val="21"/>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r>
        <w:rPr>
          <w:rFonts w:hint="eastAsia" w:ascii="宋体" w:hAnsi="宋体" w:cs="宋体"/>
          <w:sz w:val="21"/>
          <w:szCs w:val="21"/>
        </w:rPr>
        <w:t>供应商名称（盖章）：</w:t>
      </w:r>
    </w:p>
    <w:p>
      <w:pPr>
        <w:adjustRightInd w:val="0"/>
        <w:snapToGrid w:val="0"/>
        <w:spacing w:line="288" w:lineRule="auto"/>
        <w:rPr>
          <w:rFonts w:ascii="宋体" w:hAnsi="宋体" w:cs="宋体"/>
          <w:sz w:val="21"/>
          <w:szCs w:val="21"/>
        </w:rPr>
      </w:pPr>
      <w:r>
        <w:rPr>
          <w:rFonts w:hint="eastAsia" w:ascii="宋体" w:hAnsi="宋体" w:cs="宋体"/>
          <w:sz w:val="21"/>
          <w:szCs w:val="21"/>
        </w:rPr>
        <w:t>供应商代表签名：</w:t>
      </w:r>
    </w:p>
    <w:p>
      <w:pPr>
        <w:adjustRightInd w:val="0"/>
        <w:snapToGrid w:val="0"/>
        <w:spacing w:line="288" w:lineRule="auto"/>
        <w:rPr>
          <w:rFonts w:ascii="宋体" w:hAnsi="宋体" w:cs="宋体"/>
          <w:sz w:val="21"/>
          <w:szCs w:val="21"/>
        </w:rPr>
      </w:pPr>
      <w:r>
        <w:rPr>
          <w:rFonts w:hint="eastAsia" w:ascii="宋体" w:hAnsi="宋体" w:cs="宋体"/>
          <w:sz w:val="21"/>
          <w:szCs w:val="21"/>
        </w:rPr>
        <w:t>日期：________年____月____日</w:t>
      </w:r>
    </w:p>
    <w:p>
      <w:pPr>
        <w:pStyle w:val="12"/>
        <w:adjustRightInd w:val="0"/>
        <w:snapToGrid w:val="0"/>
        <w:spacing w:beforeLines="0" w:afterLines="0" w:line="288" w:lineRule="auto"/>
        <w:jc w:val="center"/>
        <w:outlineLvl w:val="2"/>
        <w:rPr>
          <w:rFonts w:hAnsi="宋体"/>
          <w:spacing w:val="-6"/>
          <w:sz w:val="21"/>
          <w:szCs w:val="21"/>
        </w:rPr>
      </w:pPr>
      <w:r>
        <w:rPr>
          <w:rFonts w:hAnsi="宋体"/>
          <w:b/>
          <w:spacing w:val="-6"/>
          <w:sz w:val="21"/>
          <w:szCs w:val="21"/>
        </w:rPr>
        <w:br w:type="page"/>
      </w:r>
    </w:p>
    <w:p>
      <w:pPr>
        <w:adjustRightInd w:val="0"/>
        <w:snapToGrid w:val="0"/>
        <w:spacing w:line="288" w:lineRule="auto"/>
        <w:jc w:val="center"/>
        <w:outlineLvl w:val="1"/>
        <w:rPr>
          <w:rFonts w:ascii="宋体" w:hAnsi="宋体"/>
          <w:b/>
          <w:spacing w:val="-6"/>
          <w:sz w:val="32"/>
          <w:szCs w:val="32"/>
        </w:rPr>
      </w:pPr>
      <w:r>
        <w:rPr>
          <w:rFonts w:hint="eastAsia" w:ascii="宋体" w:hAnsi="宋体"/>
          <w:b/>
          <w:spacing w:val="-6"/>
          <w:sz w:val="32"/>
          <w:szCs w:val="32"/>
        </w:rPr>
        <w:t>商务和技术文件</w:t>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（1）响应函</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提交商务和技术文件正本一份、副本____份。</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致：浙江大学</w:t>
      </w:r>
      <w:r>
        <w:rPr>
          <w:rFonts w:ascii="宋体" w:hAnsi="宋体" w:cs="宋体"/>
          <w:b/>
          <w:bCs/>
          <w:sz w:val="21"/>
          <w:szCs w:val="21"/>
        </w:rPr>
        <w:t>、</w:t>
      </w:r>
      <w:r>
        <w:rPr>
          <w:rFonts w:hint="eastAsia" w:ascii="宋体" w:hAnsi="宋体" w:cs="宋体"/>
          <w:b/>
          <w:bCs/>
          <w:sz w:val="21"/>
          <w:szCs w:val="21"/>
        </w:rPr>
        <w:t>浙江求是招标代理有限公司</w:t>
      </w:r>
    </w:p>
    <w:p>
      <w:pPr>
        <w:adjustRightInd w:val="0"/>
        <w:snapToGrid w:val="0"/>
        <w:spacing w:line="288" w:lineRule="auto"/>
        <w:rPr>
          <w:rFonts w:ascii="宋体" w:hAnsi="宋体"/>
          <w:spacing w:val="-6"/>
          <w:sz w:val="21"/>
          <w:szCs w:val="21"/>
          <w:highlight w:val="cyan"/>
        </w:rPr>
      </w:pPr>
    </w:p>
    <w:p>
      <w:pPr>
        <w:adjustRightInd w:val="0"/>
        <w:snapToGrid w:val="0"/>
        <w:spacing w:line="288" w:lineRule="auto"/>
        <w:ind w:firstLine="396" w:firstLineChars="200"/>
        <w:rPr>
          <w:rFonts w:ascii="宋体" w:hAnsi="宋体" w:cs="宋体"/>
          <w:sz w:val="21"/>
          <w:szCs w:val="21"/>
        </w:rPr>
      </w:pPr>
      <w:r>
        <w:rPr>
          <w:rFonts w:hint="eastAsia" w:ascii="宋体" w:hAnsi="宋体"/>
          <w:spacing w:val="-6"/>
          <w:sz w:val="21"/>
          <w:szCs w:val="21"/>
        </w:rPr>
        <w:t>我方参加</w:t>
      </w:r>
      <w:r>
        <w:rPr>
          <w:rFonts w:hint="eastAsia" w:ascii="宋体" w:hAnsi="宋体"/>
          <w:bCs/>
          <w:spacing w:val="-6"/>
          <w:sz w:val="21"/>
          <w:szCs w:val="21"/>
          <w:u w:val="single"/>
        </w:rPr>
        <w:t>浙江大学IDC机房机柜托管</w:t>
      </w:r>
      <w:r>
        <w:rPr>
          <w:rFonts w:hint="eastAsia" w:ascii="宋体" w:hAnsi="宋体"/>
          <w:spacing w:val="-6"/>
          <w:sz w:val="21"/>
          <w:szCs w:val="21"/>
          <w:u w:val="single"/>
        </w:rPr>
        <w:t>（项目编号</w:t>
      </w:r>
      <w:r>
        <w:rPr>
          <w:rFonts w:hint="eastAsia" w:ascii="宋体" w:hAnsi="宋体"/>
          <w:bCs/>
          <w:spacing w:val="-6"/>
          <w:sz w:val="21"/>
          <w:szCs w:val="21"/>
          <w:u w:val="single"/>
        </w:rPr>
        <w:t>：QSZB-Z(F)-A22308(CS)</w:t>
      </w:r>
      <w:r>
        <w:rPr>
          <w:rFonts w:hint="eastAsia" w:ascii="宋体" w:hAnsi="宋体"/>
          <w:spacing w:val="-6"/>
          <w:sz w:val="21"/>
          <w:szCs w:val="21"/>
          <w:u w:val="single"/>
        </w:rPr>
        <w:t>）</w:t>
      </w:r>
      <w:r>
        <w:rPr>
          <w:rFonts w:hint="eastAsia" w:ascii="宋体" w:hAnsi="宋体"/>
          <w:spacing w:val="-6"/>
          <w:sz w:val="21"/>
          <w:szCs w:val="21"/>
        </w:rPr>
        <w:t>项目，为此，我方提交响应文件（资格文件、报价文件、商务和技术文件）正本一份、副本____份。签名代表宣布同意如下：</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3.响应有效期自提交响应文件的截止之日起</w:t>
      </w:r>
      <w:r>
        <w:rPr>
          <w:rFonts w:hint="eastAsia" w:ascii="宋体" w:hAnsi="宋体" w:cs="宋体"/>
          <w:sz w:val="21"/>
          <w:szCs w:val="21"/>
          <w:u w:val="single"/>
        </w:rPr>
        <w:t>90</w:t>
      </w:r>
      <w:r>
        <w:rPr>
          <w:rFonts w:hint="eastAsia" w:ascii="宋体" w:hAnsi="宋体" w:cs="宋体"/>
          <w:sz w:val="21"/>
          <w:szCs w:val="21"/>
        </w:rPr>
        <w:t>天。</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5.我方同意按照贵方要求提供与磋商有关的一切数据或资料。</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6.与本磋商有关的一切正式往来信函联系：</w:t>
      </w:r>
    </w:p>
    <w:tbl>
      <w:tblPr>
        <w:tblStyle w:val="7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联系人：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职务：</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手机：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电子邮箱：</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银行账号：</w:t>
            </w:r>
          </w:p>
        </w:tc>
        <w:tc>
          <w:tcPr>
            <w:tcW w:w="6808" w:type="dxa"/>
          </w:tcPr>
          <w:p>
            <w:pPr>
              <w:adjustRightInd w:val="0"/>
              <w:snapToGrid w:val="0"/>
              <w:spacing w:line="288" w:lineRule="auto"/>
              <w:rPr>
                <w:rFonts w:ascii="宋体" w:hAnsi="宋体"/>
                <w:spacing w:val="-6"/>
                <w:sz w:val="21"/>
                <w:szCs w:val="21"/>
              </w:rPr>
            </w:pPr>
          </w:p>
        </w:tc>
      </w:tr>
    </w:tbl>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r>
        <w:rPr>
          <w:rFonts w:hint="eastAsia" w:ascii="宋体" w:hAnsi="宋体" w:cs="宋体"/>
          <w:sz w:val="21"/>
          <w:szCs w:val="21"/>
        </w:rPr>
        <w:t>供应商名称（盖章）：</w:t>
      </w:r>
    </w:p>
    <w:p>
      <w:pPr>
        <w:adjustRightInd w:val="0"/>
        <w:snapToGrid w:val="0"/>
        <w:spacing w:line="288" w:lineRule="auto"/>
        <w:rPr>
          <w:rFonts w:ascii="宋体" w:hAnsi="宋体" w:cs="宋体"/>
          <w:sz w:val="21"/>
          <w:szCs w:val="21"/>
        </w:rPr>
      </w:pPr>
      <w:r>
        <w:rPr>
          <w:rFonts w:hint="eastAsia" w:ascii="宋体" w:hAnsi="宋体" w:cs="宋体"/>
          <w:sz w:val="21"/>
          <w:szCs w:val="21"/>
        </w:rPr>
        <w:t>供应商代表签名：</w:t>
      </w:r>
    </w:p>
    <w:p>
      <w:pPr>
        <w:adjustRightInd w:val="0"/>
        <w:snapToGrid w:val="0"/>
        <w:spacing w:line="288" w:lineRule="auto"/>
        <w:rPr>
          <w:rFonts w:ascii="宋体" w:hAnsi="宋体" w:cs="宋体"/>
          <w:sz w:val="21"/>
          <w:szCs w:val="21"/>
        </w:rPr>
      </w:pPr>
      <w:r>
        <w:rPr>
          <w:rFonts w:hint="eastAsia" w:ascii="宋体" w:hAnsi="宋体" w:cs="宋体"/>
          <w:sz w:val="21"/>
          <w:szCs w:val="21"/>
        </w:rPr>
        <w:t>日期：________年____月____日</w:t>
      </w:r>
    </w:p>
    <w:p>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2"/>
        <w:rPr>
          <w:rFonts w:ascii="宋体" w:hAnsi="宋体" w:cs="宋体"/>
          <w:b/>
          <w:bCs/>
          <w:sz w:val="21"/>
          <w:szCs w:val="21"/>
        </w:rPr>
      </w:pPr>
      <w:r>
        <w:rPr>
          <w:rFonts w:hint="eastAsia" w:ascii="宋体" w:hAnsi="宋体" w:cs="宋体"/>
          <w:b/>
          <w:bCs/>
          <w:sz w:val="21"/>
          <w:szCs w:val="21"/>
        </w:rPr>
        <w:t>（</w:t>
      </w:r>
      <w:r>
        <w:rPr>
          <w:rFonts w:ascii="宋体" w:hAnsi="宋体" w:cs="宋体"/>
          <w:b/>
          <w:bCs/>
          <w:sz w:val="21"/>
          <w:szCs w:val="21"/>
        </w:rPr>
        <w:t>2</w:t>
      </w:r>
      <w:r>
        <w:rPr>
          <w:rFonts w:hint="eastAsia" w:ascii="宋体" w:hAnsi="宋体" w:cs="宋体"/>
          <w:b/>
          <w:bCs/>
          <w:sz w:val="21"/>
          <w:szCs w:val="21"/>
        </w:rPr>
        <w:t>）法定代表人授权委托书</w:t>
      </w:r>
    </w:p>
    <w:p>
      <w:pPr>
        <w:adjustRightInd w:val="0"/>
        <w:snapToGrid w:val="0"/>
        <w:spacing w:line="288" w:lineRule="auto"/>
        <w:rPr>
          <w:rFonts w:ascii="宋体" w:hAnsi="宋体" w:cs="宋体"/>
          <w:sz w:val="21"/>
          <w:szCs w:val="21"/>
        </w:rPr>
      </w:pPr>
      <w:r>
        <w:rPr>
          <w:rFonts w:hint="eastAsia" w:ascii="宋体" w:hAnsi="宋体" w:cs="宋体"/>
          <w:sz w:val="21"/>
          <w:szCs w:val="21"/>
        </w:rPr>
        <w:t>致：浙江大学、浙江求是招标代理有限公司</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我</w:t>
      </w:r>
      <w:r>
        <w:rPr>
          <w:rFonts w:ascii="宋体" w:hAnsi="宋体"/>
          <w:spacing w:val="-6"/>
          <w:sz w:val="21"/>
          <w:szCs w:val="21"/>
        </w:rPr>
        <w:t>________________</w:t>
      </w:r>
      <w:r>
        <w:rPr>
          <w:rFonts w:hint="eastAsia" w:ascii="宋体" w:hAnsi="宋体"/>
          <w:spacing w:val="-6"/>
          <w:sz w:val="21"/>
          <w:szCs w:val="21"/>
        </w:rPr>
        <w:t>（</w:t>
      </w:r>
      <w:r>
        <w:rPr>
          <w:rFonts w:ascii="宋体" w:hAnsi="宋体"/>
          <w:bCs/>
          <w:spacing w:val="-6"/>
          <w:sz w:val="21"/>
          <w:szCs w:val="21"/>
        </w:rPr>
        <w:t>姓名</w:t>
      </w:r>
      <w:r>
        <w:rPr>
          <w:rFonts w:hint="eastAsia" w:ascii="宋体" w:hAnsi="宋体"/>
          <w:bCs/>
          <w:spacing w:val="-6"/>
          <w:sz w:val="21"/>
          <w:szCs w:val="21"/>
        </w:rPr>
        <w:t>）</w:t>
      </w:r>
      <w:r>
        <w:rPr>
          <w:rFonts w:ascii="宋体" w:hAnsi="宋体"/>
          <w:bCs/>
          <w:spacing w:val="-6"/>
          <w:sz w:val="21"/>
          <w:szCs w:val="21"/>
        </w:rPr>
        <w:t>系</w:t>
      </w:r>
      <w:r>
        <w:rPr>
          <w:rFonts w:hint="eastAsia" w:ascii="宋体" w:hAnsi="宋体"/>
          <w:bCs/>
          <w:spacing w:val="-6"/>
          <w:sz w:val="21"/>
          <w:szCs w:val="21"/>
        </w:rPr>
        <w:t>_________________________（供应商名称）</w:t>
      </w:r>
      <w:r>
        <w:rPr>
          <w:rFonts w:ascii="宋体" w:hAnsi="宋体"/>
          <w:bCs/>
          <w:spacing w:val="-6"/>
          <w:sz w:val="21"/>
          <w:szCs w:val="21"/>
        </w:rPr>
        <w:t>的法定代表人，身份证</w:t>
      </w:r>
      <w:r>
        <w:rPr>
          <w:rFonts w:hint="eastAsia" w:ascii="宋体" w:hAnsi="宋体"/>
          <w:bCs/>
          <w:spacing w:val="-6"/>
          <w:sz w:val="21"/>
          <w:szCs w:val="21"/>
        </w:rPr>
        <w:t>号码：_________________________________。</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现授权委托本单位在职职工：</w:t>
      </w:r>
      <w:r>
        <w:rPr>
          <w:rFonts w:ascii="宋体" w:hAnsi="宋体"/>
          <w:spacing w:val="-6"/>
          <w:sz w:val="21"/>
          <w:szCs w:val="21"/>
        </w:rPr>
        <w:t>_________</w:t>
      </w:r>
      <w:r>
        <w:rPr>
          <w:rFonts w:hint="eastAsia" w:ascii="宋体" w:hAnsi="宋体"/>
          <w:spacing w:val="-6"/>
          <w:sz w:val="21"/>
          <w:szCs w:val="21"/>
        </w:rPr>
        <w:t>（姓名），身份证号码：</w:t>
      </w:r>
      <w:r>
        <w:rPr>
          <w:rFonts w:ascii="宋体" w:hAnsi="宋体"/>
          <w:spacing w:val="-6"/>
          <w:sz w:val="21"/>
          <w:szCs w:val="21"/>
        </w:rPr>
        <w:t>_______________</w:t>
      </w:r>
      <w:r>
        <w:rPr>
          <w:rFonts w:hint="eastAsia" w:ascii="宋体" w:hAnsi="宋体"/>
          <w:spacing w:val="-6"/>
          <w:sz w:val="21"/>
          <w:szCs w:val="21"/>
        </w:rPr>
        <w:t>，以我方的名义参加</w:t>
      </w:r>
      <w:r>
        <w:rPr>
          <w:rFonts w:hint="eastAsia" w:ascii="宋体" w:hAnsi="宋体"/>
          <w:bCs/>
          <w:spacing w:val="-6"/>
          <w:sz w:val="21"/>
          <w:szCs w:val="21"/>
        </w:rPr>
        <w:t>浙江大学IDC机房机柜托管</w:t>
      </w:r>
      <w:r>
        <w:rPr>
          <w:rFonts w:hint="eastAsia" w:ascii="宋体" w:hAnsi="宋体"/>
          <w:spacing w:val="-6"/>
          <w:sz w:val="21"/>
          <w:szCs w:val="21"/>
        </w:rPr>
        <w:t>的磋商活动，并代表我方全权办理针对上述项目的</w:t>
      </w:r>
      <w:r>
        <w:rPr>
          <w:rFonts w:hint="eastAsia" w:ascii="宋体" w:hAnsi="宋体" w:cs="宋体"/>
          <w:sz w:val="21"/>
          <w:szCs w:val="21"/>
        </w:rPr>
        <w:t>磋商文件开启、磋商、评审、签约等具体事务和签署相关文件。</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我方对被授权人的签名负全部责任。</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被授权人无转委托权，特此委托。</w:t>
      </w:r>
    </w:p>
    <w:p>
      <w:pPr>
        <w:adjustRightInd w:val="0"/>
        <w:snapToGrid w:val="0"/>
        <w:spacing w:line="288" w:lineRule="auto"/>
        <w:ind w:firstLine="420" w:firstLineChars="200"/>
        <w:rPr>
          <w:rFonts w:ascii="宋体" w:hAnsi="宋体" w:cs="宋体"/>
          <w:sz w:val="21"/>
          <w:szCs w:val="21"/>
          <w:u w:val="single"/>
        </w:rPr>
      </w:pPr>
      <w:r>
        <w:rPr>
          <w:rFonts w:hint="eastAsia" w:ascii="宋体" w:hAnsi="宋体" w:cs="宋体"/>
          <w:sz w:val="21"/>
          <w:szCs w:val="21"/>
          <w:u w:val="single"/>
        </w:rPr>
        <w:t>▲供应商授权代表必须为供应商本单位在职职工，并提供</w:t>
      </w:r>
      <w:r>
        <w:rPr>
          <w:rFonts w:ascii="宋体" w:hAnsi="宋体" w:cs="宋体"/>
          <w:sz w:val="21"/>
          <w:szCs w:val="21"/>
          <w:u w:val="single"/>
        </w:rPr>
        <w:t>2021年12月（含）以后任意一月社保缴纳证明</w:t>
      </w:r>
      <w:r>
        <w:rPr>
          <w:rFonts w:hint="eastAsia" w:ascii="宋体" w:hAnsi="宋体" w:cs="宋体"/>
          <w:sz w:val="21"/>
          <w:szCs w:val="21"/>
          <w:u w:val="single"/>
        </w:rPr>
        <w:t>。</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法定代表人（签名或盖章）：</w:t>
      </w: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r>
        <w:rPr>
          <w:rFonts w:hint="eastAsia" w:ascii="宋体" w:hAnsi="宋体" w:cs="宋体"/>
          <w:sz w:val="21"/>
          <w:szCs w:val="21"/>
        </w:rPr>
        <w:t>供应商名称（盖章）：</w:t>
      </w:r>
    </w:p>
    <w:p>
      <w:pPr>
        <w:adjustRightInd w:val="0"/>
        <w:snapToGrid w:val="0"/>
        <w:spacing w:line="288" w:lineRule="auto"/>
        <w:rPr>
          <w:rFonts w:ascii="宋体" w:hAnsi="宋体" w:cs="宋体"/>
          <w:sz w:val="21"/>
          <w:szCs w:val="21"/>
        </w:rPr>
      </w:pPr>
      <w:r>
        <w:rPr>
          <w:rFonts w:hint="eastAsia" w:ascii="宋体" w:hAnsi="宋体" w:cs="宋体"/>
          <w:sz w:val="21"/>
          <w:szCs w:val="21"/>
        </w:rPr>
        <w:t>日期：________年____月____日</w:t>
      </w:r>
    </w:p>
    <w:tbl>
      <w:tblPr>
        <w:tblStyle w:val="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adjustRightInd w:val="0"/>
              <w:snapToGrid w:val="0"/>
              <w:spacing w:line="288" w:lineRule="auto"/>
              <w:rPr>
                <w:rFonts w:ascii="宋体" w:hAnsi="宋体"/>
                <w:sz w:val="21"/>
                <w:szCs w:val="21"/>
              </w:rPr>
            </w:pPr>
            <w:r>
              <w:rPr>
                <w:rFonts w:hint="eastAsia" w:ascii="宋体" w:hAnsi="宋体"/>
                <w:sz w:val="21"/>
                <w:szCs w:val="21"/>
              </w:rPr>
              <w:t>法定代表人身份证明：</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r>
              <w:rPr>
                <w:rFonts w:hint="eastAsia" w:ascii="宋体" w:hAnsi="宋体"/>
                <w:sz w:val="21"/>
                <w:szCs w:val="21"/>
              </w:rPr>
              <w:t>授权代表身份证明：</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p>
        </w:tc>
      </w:tr>
    </w:tbl>
    <w:p>
      <w:pPr>
        <w:adjustRightInd w:val="0"/>
        <w:snapToGrid w:val="0"/>
        <w:spacing w:line="288" w:lineRule="auto"/>
        <w:jc w:val="center"/>
        <w:outlineLvl w:val="2"/>
        <w:rPr>
          <w:rFonts w:ascii="宋体" w:hAnsi="宋体"/>
          <w:b/>
          <w:spacing w:val="-6"/>
          <w:sz w:val="21"/>
          <w:szCs w:val="21"/>
        </w:rPr>
      </w:pPr>
      <w:r>
        <w:rPr>
          <w:rFonts w:ascii="宋体" w:hAnsi="宋体"/>
          <w:b/>
          <w:spacing w:val="-6"/>
          <w:sz w:val="21"/>
          <w:szCs w:val="21"/>
        </w:rPr>
        <w:br w:type="page"/>
      </w:r>
      <w:r>
        <w:rPr>
          <w:rFonts w:hint="eastAsia" w:ascii="宋体" w:hAnsi="宋体"/>
          <w:b/>
          <w:spacing w:val="-6"/>
          <w:sz w:val="21"/>
          <w:szCs w:val="21"/>
        </w:rPr>
        <w:t>（</w:t>
      </w:r>
      <w:r>
        <w:rPr>
          <w:rFonts w:ascii="宋体" w:hAnsi="宋体"/>
          <w:b/>
          <w:spacing w:val="-6"/>
          <w:sz w:val="21"/>
          <w:szCs w:val="21"/>
        </w:rPr>
        <w:t>2</w:t>
      </w:r>
      <w:r>
        <w:rPr>
          <w:rFonts w:hint="eastAsia" w:ascii="宋体" w:hAnsi="宋体"/>
          <w:b/>
          <w:spacing w:val="-6"/>
          <w:sz w:val="21"/>
          <w:szCs w:val="21"/>
        </w:rPr>
        <w:t>）2021年12月（含）以后任意一月供应商</w:t>
      </w:r>
      <w:r>
        <w:rPr>
          <w:rFonts w:ascii="宋体" w:hAnsi="宋体"/>
          <w:b/>
          <w:spacing w:val="-6"/>
          <w:sz w:val="21"/>
          <w:szCs w:val="21"/>
        </w:rPr>
        <w:t>授权代表社保缴纳证明</w:t>
      </w:r>
    </w:p>
    <w:p>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（3）体系认证</w:t>
      </w:r>
    </w:p>
    <w:p>
      <w:pPr>
        <w:rPr>
          <w:rFonts w:ascii="宋体" w:hAnsi="宋体"/>
          <w:b/>
          <w:spacing w:val="-6"/>
          <w:sz w:val="21"/>
          <w:szCs w:val="21"/>
        </w:rPr>
      </w:pPr>
      <w:r>
        <w:rPr>
          <w:rFonts w:hint="eastAsia" w:ascii="宋体" w:hAnsi="宋体"/>
          <w:b/>
          <w:spacing w:val="-6"/>
          <w:sz w:val="21"/>
          <w:szCs w:val="21"/>
        </w:rPr>
        <w:br w:type="page"/>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（4）供应商同类合同一览表</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合同金额</w:t>
            </w:r>
          </w:p>
          <w:p>
            <w:pPr>
              <w:adjustRightInd w:val="0"/>
              <w:snapToGrid w:val="0"/>
              <w:spacing w:line="288" w:lineRule="auto"/>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采购单位联系人</w:t>
            </w:r>
          </w:p>
          <w:p>
            <w:pPr>
              <w:adjustRightInd w:val="0"/>
              <w:snapToGrid w:val="0"/>
              <w:spacing w:line="288" w:lineRule="auto"/>
              <w:jc w:val="center"/>
              <w:rPr>
                <w:rFonts w:ascii="宋体" w:hAnsi="宋体"/>
                <w:b/>
                <w:sz w:val="21"/>
                <w:szCs w:val="21"/>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jc w:val="center"/>
              <w:rPr>
                <w:rFonts w:ascii="宋体" w:hAnsi="宋体"/>
                <w:sz w:val="21"/>
                <w:szCs w:val="21"/>
              </w:rPr>
            </w:pPr>
          </w:p>
        </w:tc>
      </w:tr>
    </w:tbl>
    <w:p>
      <w:pPr>
        <w:pStyle w:val="17"/>
        <w:adjustRightInd w:val="0"/>
        <w:snapToGrid w:val="0"/>
        <w:spacing w:line="288" w:lineRule="auto"/>
        <w:ind w:left="420" w:hanging="420"/>
        <w:rPr>
          <w:rFonts w:ascii="宋体" w:hAnsi="宋体"/>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供应商须提供上述业绩合同复印件；</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供应商应在不涉及商业秘密的前提下尽可能提供详细的合同复印件内容。</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供应商名称（盖章）：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供应商授权代表签名：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pStyle w:val="17"/>
        <w:adjustRightInd w:val="0"/>
        <w:snapToGrid w:val="0"/>
        <w:spacing w:line="288" w:lineRule="auto"/>
        <w:ind w:left="0" w:firstLine="0" w:firstLineChars="0"/>
        <w:jc w:val="center"/>
        <w:outlineLvl w:val="2"/>
        <w:rPr>
          <w:rFonts w:ascii="宋体" w:hAnsi="宋体"/>
          <w:b/>
          <w:sz w:val="21"/>
          <w:szCs w:val="21"/>
        </w:rPr>
      </w:pPr>
      <w:r>
        <w:rPr>
          <w:rFonts w:ascii="宋体" w:hAnsi="宋体"/>
          <w:b/>
          <w:sz w:val="21"/>
          <w:szCs w:val="21"/>
        </w:rPr>
        <w:br w:type="page"/>
      </w:r>
    </w:p>
    <w:p>
      <w:pPr>
        <w:adjustRightInd w:val="0"/>
        <w:snapToGrid w:val="0"/>
        <w:spacing w:line="288" w:lineRule="auto"/>
        <w:jc w:val="center"/>
        <w:outlineLvl w:val="2"/>
        <w:rPr>
          <w:rFonts w:ascii="宋体" w:hAnsi="宋体"/>
          <w:b/>
          <w:bCs/>
          <w:iCs/>
          <w:spacing w:val="-6"/>
          <w:sz w:val="21"/>
          <w:szCs w:val="21"/>
        </w:rPr>
      </w:pPr>
      <w:r>
        <w:rPr>
          <w:rFonts w:hint="eastAsia" w:ascii="宋体" w:hAnsi="宋体"/>
          <w:b/>
          <w:bCs/>
          <w:iCs/>
          <w:spacing w:val="-6"/>
          <w:sz w:val="21"/>
          <w:szCs w:val="21"/>
        </w:rPr>
        <w:t>（5）采购</w:t>
      </w:r>
      <w:r>
        <w:rPr>
          <w:rFonts w:ascii="宋体" w:hAnsi="宋体"/>
          <w:b/>
          <w:bCs/>
          <w:iCs/>
          <w:spacing w:val="-6"/>
          <w:sz w:val="21"/>
          <w:szCs w:val="21"/>
        </w:rPr>
        <w:t>需求</w:t>
      </w:r>
      <w:r>
        <w:rPr>
          <w:rFonts w:hint="eastAsia" w:ascii="宋体" w:hAnsi="宋体"/>
          <w:b/>
          <w:bCs/>
          <w:iCs/>
          <w:spacing w:val="-6"/>
          <w:sz w:val="21"/>
          <w:szCs w:val="21"/>
        </w:rPr>
        <w:t>偏离表</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项目名称：IDC机房机柜托管</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项目编号：QSZB-Z(F)-A22308(CS)</w:t>
      </w: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3260"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磋商文件要求</w:t>
            </w:r>
          </w:p>
        </w:tc>
        <w:tc>
          <w:tcPr>
            <w:tcW w:w="3402"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响应内容</w:t>
            </w:r>
          </w:p>
        </w:tc>
        <w:tc>
          <w:tcPr>
            <w:tcW w:w="1985"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是否偏离</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adjustRightInd w:val="0"/>
              <w:snapToGrid w:val="0"/>
              <w:spacing w:line="288" w:lineRule="auto"/>
              <w:rPr>
                <w:rFonts w:ascii="宋体" w:hAnsi="宋体"/>
                <w:b/>
                <w:bCs/>
                <w:spacing w:val="-6"/>
                <w:sz w:val="21"/>
                <w:szCs w:val="21"/>
              </w:rPr>
            </w:pPr>
            <w:r>
              <w:rPr>
                <w:rFonts w:hint="eastAsia" w:ascii="宋体" w:hAnsi="宋体"/>
                <w:b/>
                <w:bCs/>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b/>
                <w:bCs/>
                <w:spacing w:val="-6"/>
                <w:sz w:val="21"/>
                <w:szCs w:val="21"/>
              </w:rPr>
            </w:pPr>
          </w:p>
        </w:tc>
        <w:tc>
          <w:tcPr>
            <w:tcW w:w="3260" w:type="dxa"/>
            <w:vAlign w:val="center"/>
          </w:tcPr>
          <w:p>
            <w:pPr>
              <w:adjustRightInd w:val="0"/>
              <w:snapToGrid w:val="0"/>
              <w:spacing w:line="288" w:lineRule="auto"/>
              <w:jc w:val="center"/>
              <w:rPr>
                <w:rFonts w:ascii="宋体" w:hAnsi="宋体"/>
                <w:b/>
                <w:bCs/>
                <w:spacing w:val="-6"/>
                <w:sz w:val="21"/>
                <w:szCs w:val="21"/>
              </w:rPr>
            </w:pPr>
          </w:p>
        </w:tc>
        <w:tc>
          <w:tcPr>
            <w:tcW w:w="3402" w:type="dxa"/>
            <w:vAlign w:val="center"/>
          </w:tcPr>
          <w:p>
            <w:pPr>
              <w:adjustRightInd w:val="0"/>
              <w:snapToGrid w:val="0"/>
              <w:spacing w:line="288" w:lineRule="auto"/>
              <w:jc w:val="center"/>
              <w:rPr>
                <w:rFonts w:ascii="宋体" w:hAnsi="宋体"/>
                <w:b/>
                <w:bCs/>
                <w:spacing w:val="-6"/>
                <w:sz w:val="21"/>
                <w:szCs w:val="21"/>
              </w:rPr>
            </w:pPr>
          </w:p>
        </w:tc>
        <w:tc>
          <w:tcPr>
            <w:tcW w:w="1985" w:type="dxa"/>
            <w:vAlign w:val="center"/>
          </w:tcPr>
          <w:p>
            <w:pPr>
              <w:adjustRightInd w:val="0"/>
              <w:snapToGrid w:val="0"/>
              <w:spacing w:line="288" w:lineRule="auto"/>
              <w:jc w:val="center"/>
              <w:rPr>
                <w:rFonts w:ascii="宋体" w:hAnsi="宋体"/>
                <w:b/>
                <w:bCs/>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b/>
                <w:bCs/>
                <w:spacing w:val="-6"/>
                <w:sz w:val="21"/>
                <w:szCs w:val="21"/>
              </w:rPr>
            </w:pPr>
          </w:p>
        </w:tc>
        <w:tc>
          <w:tcPr>
            <w:tcW w:w="3260" w:type="dxa"/>
            <w:vAlign w:val="center"/>
          </w:tcPr>
          <w:p>
            <w:pPr>
              <w:adjustRightInd w:val="0"/>
              <w:snapToGrid w:val="0"/>
              <w:spacing w:line="288" w:lineRule="auto"/>
              <w:jc w:val="center"/>
              <w:rPr>
                <w:rFonts w:ascii="宋体" w:hAnsi="宋体"/>
                <w:b/>
                <w:bCs/>
                <w:spacing w:val="-6"/>
                <w:sz w:val="21"/>
                <w:szCs w:val="21"/>
              </w:rPr>
            </w:pPr>
          </w:p>
        </w:tc>
        <w:tc>
          <w:tcPr>
            <w:tcW w:w="3402" w:type="dxa"/>
            <w:vAlign w:val="center"/>
          </w:tcPr>
          <w:p>
            <w:pPr>
              <w:adjustRightInd w:val="0"/>
              <w:snapToGrid w:val="0"/>
              <w:spacing w:line="288" w:lineRule="auto"/>
              <w:jc w:val="center"/>
              <w:rPr>
                <w:rFonts w:ascii="宋体" w:hAnsi="宋体"/>
                <w:b/>
                <w:bCs/>
                <w:spacing w:val="-6"/>
                <w:sz w:val="21"/>
                <w:szCs w:val="21"/>
              </w:rPr>
            </w:pPr>
          </w:p>
        </w:tc>
        <w:tc>
          <w:tcPr>
            <w:tcW w:w="1985" w:type="dxa"/>
            <w:vAlign w:val="center"/>
          </w:tcPr>
          <w:p>
            <w:pPr>
              <w:adjustRightInd w:val="0"/>
              <w:snapToGrid w:val="0"/>
              <w:spacing w:line="288" w:lineRule="auto"/>
              <w:jc w:val="center"/>
              <w:rPr>
                <w:rFonts w:ascii="宋体" w:hAnsi="宋体"/>
                <w:b/>
                <w:bCs/>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adjustRightInd w:val="0"/>
              <w:snapToGrid w:val="0"/>
              <w:spacing w:line="288" w:lineRule="auto"/>
              <w:rPr>
                <w:rFonts w:ascii="宋体" w:hAnsi="宋体"/>
                <w:b/>
                <w:bCs/>
                <w:spacing w:val="-6"/>
                <w:sz w:val="21"/>
                <w:szCs w:val="21"/>
              </w:rPr>
            </w:pPr>
            <w:r>
              <w:rPr>
                <w:rFonts w:hint="eastAsia" w:ascii="宋体" w:hAnsi="宋体"/>
                <w:b/>
                <w:bCs/>
                <w:sz w:val="21"/>
                <w:szCs w:val="21"/>
              </w:rPr>
              <w:t>服务</w:t>
            </w:r>
            <w:r>
              <w:rPr>
                <w:rFonts w:ascii="宋体" w:hAnsi="宋体"/>
                <w:b/>
                <w:bCs/>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b/>
                <w:bCs/>
                <w:spacing w:val="-6"/>
                <w:sz w:val="21"/>
                <w:szCs w:val="21"/>
              </w:rPr>
            </w:pPr>
          </w:p>
        </w:tc>
        <w:tc>
          <w:tcPr>
            <w:tcW w:w="3260" w:type="dxa"/>
            <w:vAlign w:val="center"/>
          </w:tcPr>
          <w:p>
            <w:pPr>
              <w:adjustRightInd w:val="0"/>
              <w:snapToGrid w:val="0"/>
              <w:spacing w:line="288" w:lineRule="auto"/>
              <w:jc w:val="center"/>
              <w:rPr>
                <w:rFonts w:ascii="宋体" w:hAnsi="宋体"/>
                <w:b/>
                <w:bCs/>
                <w:spacing w:val="-6"/>
                <w:sz w:val="21"/>
                <w:szCs w:val="21"/>
              </w:rPr>
            </w:pPr>
          </w:p>
        </w:tc>
        <w:tc>
          <w:tcPr>
            <w:tcW w:w="3402" w:type="dxa"/>
            <w:vAlign w:val="center"/>
          </w:tcPr>
          <w:p>
            <w:pPr>
              <w:adjustRightInd w:val="0"/>
              <w:snapToGrid w:val="0"/>
              <w:spacing w:line="288" w:lineRule="auto"/>
              <w:jc w:val="center"/>
              <w:rPr>
                <w:rFonts w:ascii="宋体" w:hAnsi="宋体"/>
                <w:b/>
                <w:bCs/>
                <w:spacing w:val="-6"/>
                <w:sz w:val="21"/>
                <w:szCs w:val="21"/>
              </w:rPr>
            </w:pPr>
          </w:p>
        </w:tc>
        <w:tc>
          <w:tcPr>
            <w:tcW w:w="1985" w:type="dxa"/>
            <w:vAlign w:val="center"/>
          </w:tcPr>
          <w:p>
            <w:pPr>
              <w:adjustRightInd w:val="0"/>
              <w:snapToGrid w:val="0"/>
              <w:spacing w:line="288" w:lineRule="auto"/>
              <w:jc w:val="center"/>
              <w:rPr>
                <w:rFonts w:ascii="宋体" w:hAnsi="宋体"/>
                <w:b/>
                <w:bCs/>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b/>
                <w:bCs/>
                <w:spacing w:val="-6"/>
                <w:sz w:val="21"/>
                <w:szCs w:val="21"/>
              </w:rPr>
            </w:pPr>
          </w:p>
        </w:tc>
        <w:tc>
          <w:tcPr>
            <w:tcW w:w="3260" w:type="dxa"/>
            <w:vAlign w:val="center"/>
          </w:tcPr>
          <w:p>
            <w:pPr>
              <w:adjustRightInd w:val="0"/>
              <w:snapToGrid w:val="0"/>
              <w:spacing w:line="288" w:lineRule="auto"/>
              <w:jc w:val="center"/>
              <w:rPr>
                <w:rFonts w:ascii="宋体" w:hAnsi="宋体"/>
                <w:b/>
                <w:bCs/>
                <w:spacing w:val="-6"/>
                <w:sz w:val="21"/>
                <w:szCs w:val="21"/>
              </w:rPr>
            </w:pPr>
          </w:p>
        </w:tc>
        <w:tc>
          <w:tcPr>
            <w:tcW w:w="3402" w:type="dxa"/>
            <w:vAlign w:val="center"/>
          </w:tcPr>
          <w:p>
            <w:pPr>
              <w:adjustRightInd w:val="0"/>
              <w:snapToGrid w:val="0"/>
              <w:spacing w:line="288" w:lineRule="auto"/>
              <w:jc w:val="center"/>
              <w:rPr>
                <w:rFonts w:ascii="宋体" w:hAnsi="宋体"/>
                <w:b/>
                <w:bCs/>
                <w:spacing w:val="-6"/>
                <w:sz w:val="21"/>
                <w:szCs w:val="21"/>
              </w:rPr>
            </w:pPr>
          </w:p>
        </w:tc>
        <w:tc>
          <w:tcPr>
            <w:tcW w:w="1985" w:type="dxa"/>
            <w:vAlign w:val="center"/>
          </w:tcPr>
          <w:p>
            <w:pPr>
              <w:adjustRightInd w:val="0"/>
              <w:snapToGrid w:val="0"/>
              <w:spacing w:line="288" w:lineRule="auto"/>
              <w:jc w:val="center"/>
              <w:rPr>
                <w:rFonts w:ascii="宋体" w:hAnsi="宋体"/>
                <w:b/>
                <w:bCs/>
                <w:spacing w:val="-6"/>
                <w:sz w:val="21"/>
                <w:szCs w:val="21"/>
              </w:rPr>
            </w:pPr>
          </w:p>
        </w:tc>
      </w:tr>
    </w:tbl>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偏离说明是指对磋商文件要求存在不同之处的解释说明。偏离系指：正偏离（高于招标要求）、负偏离（低于招标要求）、无偏离（满足招标要求）；</w:t>
      </w:r>
    </w:p>
    <w:p>
      <w:pPr>
        <w:adjustRightInd w:val="0"/>
        <w:snapToGrid w:val="0"/>
        <w:spacing w:line="288"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供应商名称（盖章）：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供应商授权代表签名：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jc w:val="center"/>
        <w:outlineLvl w:val="2"/>
        <w:rPr>
          <w:rFonts w:ascii="宋体" w:hAnsi="宋体"/>
          <w:b/>
          <w:spacing w:val="-6"/>
          <w:sz w:val="21"/>
          <w:szCs w:val="21"/>
        </w:rPr>
      </w:pPr>
      <w:r>
        <w:rPr>
          <w:rFonts w:ascii="宋体" w:hAnsi="宋体"/>
          <w:spacing w:val="-6"/>
          <w:sz w:val="21"/>
          <w:szCs w:val="21"/>
        </w:rPr>
        <w:br w:type="page"/>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以下内容格式自拟</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（6）服务方案</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（7）迁移方案</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（8）服务团队</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（9）项目实施方案</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（10）安装调试验收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（11）售后服务</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（12）技术服务</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（13）供应商需要说明的其他文件和材料</w:t>
      </w:r>
    </w:p>
    <w:sectPr>
      <w:footerReference r:id="rId5" w:type="default"/>
      <w:pgSz w:w="11906" w:h="16838"/>
      <w:pgMar w:top="1247" w:right="1247" w:bottom="1247" w:left="1247" w:header="0"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1"/>
        <w:szCs w:val="21"/>
      </w:rPr>
    </w:pPr>
    <w:r>
      <w:rPr>
        <w:rFonts w:ascii="宋体" w:hAnsi="宋体" w:cstheme="majorBidi"/>
        <w:sz w:val="21"/>
        <w:szCs w:val="21"/>
        <w:lang w:val="zh-CN"/>
      </w:rPr>
      <w:fldChar w:fldCharType="begin"/>
    </w:r>
    <w:r>
      <w:rPr>
        <w:rFonts w:ascii="宋体" w:hAnsi="宋体" w:cstheme="majorBidi"/>
        <w:sz w:val="21"/>
        <w:szCs w:val="21"/>
        <w:lang w:val="zh-CN"/>
      </w:rPr>
      <w:instrText xml:space="preserve">PAGE   \* MERGEFORMAT</w:instrText>
    </w:r>
    <w:r>
      <w:rPr>
        <w:rFonts w:ascii="宋体" w:hAnsi="宋体" w:cstheme="majorBidi"/>
        <w:sz w:val="21"/>
        <w:szCs w:val="21"/>
        <w:lang w:val="zh-CN"/>
      </w:rPr>
      <w:fldChar w:fldCharType="separate"/>
    </w:r>
    <w:r>
      <w:rPr>
        <w:rFonts w:ascii="宋体" w:hAnsi="宋体" w:cstheme="majorBidi"/>
        <w:sz w:val="21"/>
        <w:szCs w:val="21"/>
        <w:lang w:val="zh-CN"/>
      </w:rPr>
      <w:t>28</w:t>
    </w:r>
    <w:r>
      <w:rPr>
        <w:rFonts w:ascii="宋体" w:hAnsi="宋体" w:cstheme="majorBidi"/>
        <w:sz w:val="21"/>
        <w:szCs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lang w:bidi="mn-Mong-CN"/>
      </w:rP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DE4101"/>
    <w:multiLevelType w:val="multilevel"/>
    <w:tmpl w:val="23DE4101"/>
    <w:lvl w:ilvl="0" w:tentative="0">
      <w:start w:val="1"/>
      <w:numFmt w:val="ideographDigital"/>
      <w:suff w:val="space"/>
      <w:lvlText w:val="第%1部分、"/>
      <w:lvlJc w:val="left"/>
      <w:pPr>
        <w:tabs>
          <w:tab w:val="left" w:pos="0"/>
        </w:tabs>
      </w:pPr>
      <w:rPr>
        <w:rFonts w:hint="eastAsia" w:ascii="仿宋_GB2312" w:hAnsi="仿宋_GB2312" w:eastAsia="仿宋_GB2312" w:cs="Times New Roman"/>
      </w:rPr>
    </w:lvl>
    <w:lvl w:ilvl="1" w:tentative="0">
      <w:start w:val="1"/>
      <w:numFmt w:val="ideographDigital"/>
      <w:suff w:val="space"/>
      <w:lvlText w:val="%2、"/>
      <w:lvlJc w:val="left"/>
      <w:pPr>
        <w:tabs>
          <w:tab w:val="left" w:pos="1277"/>
        </w:tabs>
      </w:pPr>
      <w:rPr>
        <w:rFonts w:hint="eastAsia" w:ascii="微软雅黑" w:hAnsi="微软雅黑" w:eastAsia="微软雅黑" w:cs="Times New Roman"/>
      </w:rPr>
    </w:lvl>
    <w:lvl w:ilvl="2" w:tentative="0">
      <w:start w:val="1"/>
      <w:numFmt w:val="decimal"/>
      <w:suff w:val="space"/>
      <w:lvlText w:val="%3、"/>
      <w:lvlJc w:val="left"/>
      <w:pPr>
        <w:tabs>
          <w:tab w:val="left" w:pos="-57"/>
        </w:tabs>
        <w:ind w:left="0"/>
      </w:pPr>
      <w:rPr>
        <w:rFonts w:hint="eastAsia" w:ascii="仿宋_GB2312" w:hAnsi="仿宋_GB2312" w:eastAsia="仿宋_GB2312" w:cs="Times New Roman"/>
      </w:rPr>
    </w:lvl>
    <w:lvl w:ilvl="3" w:tentative="0">
      <w:start w:val="1"/>
      <w:numFmt w:val="decimal"/>
      <w:suff w:val="space"/>
      <w:lvlText w:val="%3.%4、"/>
      <w:lvlJc w:val="left"/>
      <w:pPr>
        <w:tabs>
          <w:tab w:val="left" w:pos="0"/>
        </w:tabs>
        <w:ind w:left="113"/>
      </w:pPr>
      <w:rPr>
        <w:rFonts w:hint="eastAsia" w:ascii="仿宋_GB2312" w:hAnsi="仿宋_GB2312" w:eastAsia="仿宋_GB2312" w:cs="Times New Roman"/>
      </w:rPr>
    </w:lvl>
    <w:lvl w:ilvl="4" w:tentative="0">
      <w:start w:val="1"/>
      <w:numFmt w:val="decimal"/>
      <w:suff w:val="space"/>
      <w:lvlText w:val="%3.%4.%5、"/>
      <w:lvlJc w:val="left"/>
      <w:pPr>
        <w:tabs>
          <w:tab w:val="left" w:pos="0"/>
        </w:tabs>
        <w:ind w:left="170"/>
      </w:pPr>
      <w:rPr>
        <w:rFonts w:hint="eastAsia" w:ascii="仿宋_GB2312" w:hAnsi="仿宋_GB2312" w:eastAsia="仿宋_GB2312" w:cs="Times New Roman"/>
      </w:rPr>
    </w:lvl>
    <w:lvl w:ilvl="5" w:tentative="0">
      <w:start w:val="1"/>
      <w:numFmt w:val="decimal"/>
      <w:suff w:val="space"/>
      <w:lvlText w:val="%3.%4.%5.%6、"/>
      <w:lvlJc w:val="left"/>
      <w:pPr>
        <w:tabs>
          <w:tab w:val="left" w:pos="0"/>
        </w:tabs>
        <w:ind w:left="227"/>
      </w:pPr>
      <w:rPr>
        <w:rFonts w:hint="eastAsia" w:ascii="仿宋_GB2312" w:hAnsi="仿宋_GB2312" w:eastAsia="仿宋_GB2312" w:cs="Times New Roman"/>
      </w:rPr>
    </w:lvl>
    <w:lvl w:ilvl="6" w:tentative="0">
      <w:start w:val="1"/>
      <w:numFmt w:val="decimal"/>
      <w:suff w:val="space"/>
      <w:lvlText w:val="%2.%3.%4.%5.%6.%7"/>
      <w:lvlJc w:val="left"/>
      <w:pPr>
        <w:tabs>
          <w:tab w:val="left" w:pos="0"/>
        </w:tabs>
        <w:ind w:left="432" w:hanging="32"/>
      </w:pPr>
      <w:rPr>
        <w:rFonts w:hint="eastAsia" w:ascii="仿宋_GB2312" w:hAnsi="仿宋_GB2312" w:eastAsia="仿宋_GB2312" w:cs="Times New Roman"/>
      </w:rPr>
    </w:lvl>
    <w:lvl w:ilvl="7" w:tentative="0">
      <w:start w:val="1"/>
      <w:numFmt w:val="decimal"/>
      <w:lvlText w:val="%1.%2.%3.%4.%5.%6.%7.%8"/>
      <w:lvlJc w:val="left"/>
      <w:pPr>
        <w:tabs>
          <w:tab w:val="left" w:pos="4380"/>
        </w:tabs>
        <w:ind w:left="4380" w:hanging="1440"/>
      </w:pPr>
      <w:rPr>
        <w:rFonts w:hint="eastAsia" w:ascii="仿宋_GB2312" w:hAnsi="仿宋_GB2312" w:eastAsia="仿宋_GB2312" w:cs="Times New Roman"/>
      </w:rPr>
    </w:lvl>
    <w:lvl w:ilvl="8" w:tentative="0">
      <w:start w:val="1"/>
      <w:numFmt w:val="decimal"/>
      <w:lvlText w:val="%1.%2.%3.%4.%5.%6.%7.%8.%9"/>
      <w:lvlJc w:val="left"/>
      <w:pPr>
        <w:tabs>
          <w:tab w:val="left" w:pos="5160"/>
        </w:tabs>
        <w:ind w:left="5160" w:hanging="1800"/>
      </w:pPr>
      <w:rPr>
        <w:rFonts w:hint="eastAsia" w:ascii="仿宋_GB2312" w:hAnsi="仿宋_GB2312" w:eastAsia="仿宋_GB2312"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mMGU4NGU5ODA3OGQyMDhmNDUyOGQ2MDRjM2NjY2QifQ=="/>
  </w:docVars>
  <w:rsids>
    <w:rsidRoot w:val="00172A27"/>
    <w:rsid w:val="000028D4"/>
    <w:rsid w:val="00003256"/>
    <w:rsid w:val="0000392F"/>
    <w:rsid w:val="0000407F"/>
    <w:rsid w:val="00007362"/>
    <w:rsid w:val="000114CE"/>
    <w:rsid w:val="00012EBC"/>
    <w:rsid w:val="0001334A"/>
    <w:rsid w:val="0001458C"/>
    <w:rsid w:val="000145B8"/>
    <w:rsid w:val="00014602"/>
    <w:rsid w:val="0001497A"/>
    <w:rsid w:val="0001520A"/>
    <w:rsid w:val="000153ED"/>
    <w:rsid w:val="00015891"/>
    <w:rsid w:val="0001610F"/>
    <w:rsid w:val="000169AF"/>
    <w:rsid w:val="000169F9"/>
    <w:rsid w:val="00017BEE"/>
    <w:rsid w:val="00020E8C"/>
    <w:rsid w:val="00021187"/>
    <w:rsid w:val="00021D4E"/>
    <w:rsid w:val="00024130"/>
    <w:rsid w:val="00025067"/>
    <w:rsid w:val="00026EE5"/>
    <w:rsid w:val="000270D8"/>
    <w:rsid w:val="00027A3C"/>
    <w:rsid w:val="00030DB5"/>
    <w:rsid w:val="000310FE"/>
    <w:rsid w:val="00031E2B"/>
    <w:rsid w:val="00032047"/>
    <w:rsid w:val="00032280"/>
    <w:rsid w:val="000325E1"/>
    <w:rsid w:val="00035A33"/>
    <w:rsid w:val="000362B2"/>
    <w:rsid w:val="00036996"/>
    <w:rsid w:val="0003700E"/>
    <w:rsid w:val="00037598"/>
    <w:rsid w:val="0003797E"/>
    <w:rsid w:val="00040041"/>
    <w:rsid w:val="00041D0F"/>
    <w:rsid w:val="0004239D"/>
    <w:rsid w:val="00042A03"/>
    <w:rsid w:val="00043E78"/>
    <w:rsid w:val="000459B5"/>
    <w:rsid w:val="00045C96"/>
    <w:rsid w:val="00045EE2"/>
    <w:rsid w:val="000468CE"/>
    <w:rsid w:val="000475A7"/>
    <w:rsid w:val="00047DF2"/>
    <w:rsid w:val="0005166C"/>
    <w:rsid w:val="00051736"/>
    <w:rsid w:val="00051C71"/>
    <w:rsid w:val="00052C43"/>
    <w:rsid w:val="00052CE7"/>
    <w:rsid w:val="000530F5"/>
    <w:rsid w:val="00053A36"/>
    <w:rsid w:val="00053AD2"/>
    <w:rsid w:val="000558AF"/>
    <w:rsid w:val="00056574"/>
    <w:rsid w:val="000572E5"/>
    <w:rsid w:val="00057B3C"/>
    <w:rsid w:val="00057C6A"/>
    <w:rsid w:val="0006044C"/>
    <w:rsid w:val="00061307"/>
    <w:rsid w:val="00061500"/>
    <w:rsid w:val="00061C96"/>
    <w:rsid w:val="000626B1"/>
    <w:rsid w:val="00062C77"/>
    <w:rsid w:val="00062D03"/>
    <w:rsid w:val="000645A8"/>
    <w:rsid w:val="00064F1A"/>
    <w:rsid w:val="00065362"/>
    <w:rsid w:val="00065D63"/>
    <w:rsid w:val="00066072"/>
    <w:rsid w:val="00067095"/>
    <w:rsid w:val="0006785D"/>
    <w:rsid w:val="00067B67"/>
    <w:rsid w:val="00071C2A"/>
    <w:rsid w:val="00072425"/>
    <w:rsid w:val="00073FF7"/>
    <w:rsid w:val="00074D7B"/>
    <w:rsid w:val="00075C1B"/>
    <w:rsid w:val="00076570"/>
    <w:rsid w:val="00077067"/>
    <w:rsid w:val="00077A8E"/>
    <w:rsid w:val="00077A9F"/>
    <w:rsid w:val="000804A7"/>
    <w:rsid w:val="00080A03"/>
    <w:rsid w:val="000828E2"/>
    <w:rsid w:val="00082F7C"/>
    <w:rsid w:val="00084D5F"/>
    <w:rsid w:val="00085DF5"/>
    <w:rsid w:val="00085EC0"/>
    <w:rsid w:val="00087452"/>
    <w:rsid w:val="00087DAC"/>
    <w:rsid w:val="000904F8"/>
    <w:rsid w:val="00090F34"/>
    <w:rsid w:val="00091E28"/>
    <w:rsid w:val="00093340"/>
    <w:rsid w:val="00093A4B"/>
    <w:rsid w:val="00093FB0"/>
    <w:rsid w:val="000941F1"/>
    <w:rsid w:val="00094C73"/>
    <w:rsid w:val="000956AA"/>
    <w:rsid w:val="000957CD"/>
    <w:rsid w:val="00095E66"/>
    <w:rsid w:val="00096127"/>
    <w:rsid w:val="000965C7"/>
    <w:rsid w:val="00096836"/>
    <w:rsid w:val="00096CEF"/>
    <w:rsid w:val="00097C05"/>
    <w:rsid w:val="00097FA1"/>
    <w:rsid w:val="000A2678"/>
    <w:rsid w:val="000A28E5"/>
    <w:rsid w:val="000A3119"/>
    <w:rsid w:val="000A4DE3"/>
    <w:rsid w:val="000A584B"/>
    <w:rsid w:val="000A7CFC"/>
    <w:rsid w:val="000B0079"/>
    <w:rsid w:val="000B08AC"/>
    <w:rsid w:val="000B0CF9"/>
    <w:rsid w:val="000B1842"/>
    <w:rsid w:val="000B2628"/>
    <w:rsid w:val="000B3E1B"/>
    <w:rsid w:val="000B4CA7"/>
    <w:rsid w:val="000B504A"/>
    <w:rsid w:val="000B55D0"/>
    <w:rsid w:val="000B575E"/>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D03C9"/>
    <w:rsid w:val="000D04C5"/>
    <w:rsid w:val="000D0723"/>
    <w:rsid w:val="000D22DB"/>
    <w:rsid w:val="000D25B1"/>
    <w:rsid w:val="000D2F41"/>
    <w:rsid w:val="000D3606"/>
    <w:rsid w:val="000D3763"/>
    <w:rsid w:val="000D46E8"/>
    <w:rsid w:val="000D4C7F"/>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D64"/>
    <w:rsid w:val="000F21C3"/>
    <w:rsid w:val="000F2252"/>
    <w:rsid w:val="000F2AAD"/>
    <w:rsid w:val="000F31CF"/>
    <w:rsid w:val="000F43A3"/>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4A74"/>
    <w:rsid w:val="00105F12"/>
    <w:rsid w:val="00106134"/>
    <w:rsid w:val="001065B0"/>
    <w:rsid w:val="00106973"/>
    <w:rsid w:val="00106EF6"/>
    <w:rsid w:val="00110125"/>
    <w:rsid w:val="00110547"/>
    <w:rsid w:val="00110AE7"/>
    <w:rsid w:val="00110F05"/>
    <w:rsid w:val="00111B51"/>
    <w:rsid w:val="00112093"/>
    <w:rsid w:val="00112A94"/>
    <w:rsid w:val="00114034"/>
    <w:rsid w:val="001144F7"/>
    <w:rsid w:val="00114BEF"/>
    <w:rsid w:val="00116AC0"/>
    <w:rsid w:val="00117084"/>
    <w:rsid w:val="001178FF"/>
    <w:rsid w:val="00117E89"/>
    <w:rsid w:val="0012048B"/>
    <w:rsid w:val="00121040"/>
    <w:rsid w:val="00121153"/>
    <w:rsid w:val="0012178A"/>
    <w:rsid w:val="0012181B"/>
    <w:rsid w:val="00124DE1"/>
    <w:rsid w:val="00124F72"/>
    <w:rsid w:val="00125768"/>
    <w:rsid w:val="00126C29"/>
    <w:rsid w:val="00126C83"/>
    <w:rsid w:val="00130627"/>
    <w:rsid w:val="00130CAF"/>
    <w:rsid w:val="00130ED6"/>
    <w:rsid w:val="00131252"/>
    <w:rsid w:val="00131A09"/>
    <w:rsid w:val="0013247C"/>
    <w:rsid w:val="00132A2E"/>
    <w:rsid w:val="001330A8"/>
    <w:rsid w:val="001350A2"/>
    <w:rsid w:val="00136919"/>
    <w:rsid w:val="00136C4A"/>
    <w:rsid w:val="0013796A"/>
    <w:rsid w:val="00140256"/>
    <w:rsid w:val="00140582"/>
    <w:rsid w:val="001411DB"/>
    <w:rsid w:val="00142B06"/>
    <w:rsid w:val="0014310B"/>
    <w:rsid w:val="00143148"/>
    <w:rsid w:val="00143754"/>
    <w:rsid w:val="00143E89"/>
    <w:rsid w:val="00143EF4"/>
    <w:rsid w:val="0014555E"/>
    <w:rsid w:val="00146B7D"/>
    <w:rsid w:val="001475CB"/>
    <w:rsid w:val="001478E0"/>
    <w:rsid w:val="001502BC"/>
    <w:rsid w:val="00150D1E"/>
    <w:rsid w:val="00150EBF"/>
    <w:rsid w:val="00150EE4"/>
    <w:rsid w:val="00151C82"/>
    <w:rsid w:val="00152A4A"/>
    <w:rsid w:val="00152D27"/>
    <w:rsid w:val="00153628"/>
    <w:rsid w:val="001536ED"/>
    <w:rsid w:val="00154833"/>
    <w:rsid w:val="00154A6A"/>
    <w:rsid w:val="00155AFA"/>
    <w:rsid w:val="00155BC8"/>
    <w:rsid w:val="00155DAF"/>
    <w:rsid w:val="00156153"/>
    <w:rsid w:val="001566F2"/>
    <w:rsid w:val="001572A5"/>
    <w:rsid w:val="00157BA2"/>
    <w:rsid w:val="00160182"/>
    <w:rsid w:val="00160B84"/>
    <w:rsid w:val="001613DD"/>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021"/>
    <w:rsid w:val="001722F1"/>
    <w:rsid w:val="00172615"/>
    <w:rsid w:val="00172A27"/>
    <w:rsid w:val="001735C7"/>
    <w:rsid w:val="0017449B"/>
    <w:rsid w:val="001763B3"/>
    <w:rsid w:val="00176D03"/>
    <w:rsid w:val="00177FB3"/>
    <w:rsid w:val="001809F4"/>
    <w:rsid w:val="001818E9"/>
    <w:rsid w:val="00181A44"/>
    <w:rsid w:val="00182D78"/>
    <w:rsid w:val="00183235"/>
    <w:rsid w:val="0018377D"/>
    <w:rsid w:val="00183AEF"/>
    <w:rsid w:val="00184D3D"/>
    <w:rsid w:val="00184E31"/>
    <w:rsid w:val="00190C4E"/>
    <w:rsid w:val="00190DBC"/>
    <w:rsid w:val="00191584"/>
    <w:rsid w:val="00192B0E"/>
    <w:rsid w:val="0019303D"/>
    <w:rsid w:val="00193798"/>
    <w:rsid w:val="00193CB3"/>
    <w:rsid w:val="00195094"/>
    <w:rsid w:val="00195167"/>
    <w:rsid w:val="00195A86"/>
    <w:rsid w:val="001965A7"/>
    <w:rsid w:val="001969F2"/>
    <w:rsid w:val="00196D4A"/>
    <w:rsid w:val="00196E78"/>
    <w:rsid w:val="00197580"/>
    <w:rsid w:val="00197E96"/>
    <w:rsid w:val="001A16C8"/>
    <w:rsid w:val="001A1D09"/>
    <w:rsid w:val="001A25C8"/>
    <w:rsid w:val="001A4D48"/>
    <w:rsid w:val="001A5A88"/>
    <w:rsid w:val="001A5DA8"/>
    <w:rsid w:val="001A6AB8"/>
    <w:rsid w:val="001A7747"/>
    <w:rsid w:val="001B045F"/>
    <w:rsid w:val="001B0E53"/>
    <w:rsid w:val="001B0ED0"/>
    <w:rsid w:val="001B1D6A"/>
    <w:rsid w:val="001B1EFE"/>
    <w:rsid w:val="001B20DE"/>
    <w:rsid w:val="001B3229"/>
    <w:rsid w:val="001B3E88"/>
    <w:rsid w:val="001B5FB1"/>
    <w:rsid w:val="001B6F07"/>
    <w:rsid w:val="001B7804"/>
    <w:rsid w:val="001C11F4"/>
    <w:rsid w:val="001C18CF"/>
    <w:rsid w:val="001C2375"/>
    <w:rsid w:val="001C4908"/>
    <w:rsid w:val="001C4959"/>
    <w:rsid w:val="001C4FC9"/>
    <w:rsid w:val="001C5AEF"/>
    <w:rsid w:val="001C787A"/>
    <w:rsid w:val="001D0F0B"/>
    <w:rsid w:val="001D273B"/>
    <w:rsid w:val="001D2BC7"/>
    <w:rsid w:val="001D37E3"/>
    <w:rsid w:val="001D4791"/>
    <w:rsid w:val="001D4A34"/>
    <w:rsid w:val="001D584D"/>
    <w:rsid w:val="001E1578"/>
    <w:rsid w:val="001E1686"/>
    <w:rsid w:val="001E1703"/>
    <w:rsid w:val="001E2199"/>
    <w:rsid w:val="001E2316"/>
    <w:rsid w:val="001E27B1"/>
    <w:rsid w:val="001E2B4D"/>
    <w:rsid w:val="001E309E"/>
    <w:rsid w:val="001E3A76"/>
    <w:rsid w:val="001E4FB8"/>
    <w:rsid w:val="001E57A3"/>
    <w:rsid w:val="001E690B"/>
    <w:rsid w:val="001E6A29"/>
    <w:rsid w:val="001E6FD1"/>
    <w:rsid w:val="001E7735"/>
    <w:rsid w:val="001E7C22"/>
    <w:rsid w:val="001F01E8"/>
    <w:rsid w:val="001F1BC6"/>
    <w:rsid w:val="001F21F0"/>
    <w:rsid w:val="001F2717"/>
    <w:rsid w:val="001F2961"/>
    <w:rsid w:val="001F3F3F"/>
    <w:rsid w:val="001F4502"/>
    <w:rsid w:val="001F4531"/>
    <w:rsid w:val="001F464D"/>
    <w:rsid w:val="001F5FE3"/>
    <w:rsid w:val="001F6162"/>
    <w:rsid w:val="001F631F"/>
    <w:rsid w:val="001F6DFD"/>
    <w:rsid w:val="001F7D64"/>
    <w:rsid w:val="00200BA4"/>
    <w:rsid w:val="00201740"/>
    <w:rsid w:val="00202AFC"/>
    <w:rsid w:val="002032D2"/>
    <w:rsid w:val="00203DAA"/>
    <w:rsid w:val="00204379"/>
    <w:rsid w:val="002048D6"/>
    <w:rsid w:val="00205352"/>
    <w:rsid w:val="002053B5"/>
    <w:rsid w:val="00206878"/>
    <w:rsid w:val="00206B67"/>
    <w:rsid w:val="00206C9F"/>
    <w:rsid w:val="002102BE"/>
    <w:rsid w:val="00210763"/>
    <w:rsid w:val="0021085B"/>
    <w:rsid w:val="00210B1B"/>
    <w:rsid w:val="00210BCF"/>
    <w:rsid w:val="00210DE3"/>
    <w:rsid w:val="00212052"/>
    <w:rsid w:val="002126B6"/>
    <w:rsid w:val="00212E29"/>
    <w:rsid w:val="002143CB"/>
    <w:rsid w:val="00214FEB"/>
    <w:rsid w:val="00215C0E"/>
    <w:rsid w:val="00216BB7"/>
    <w:rsid w:val="00216E5F"/>
    <w:rsid w:val="00217173"/>
    <w:rsid w:val="00217E66"/>
    <w:rsid w:val="00217E78"/>
    <w:rsid w:val="00220CFB"/>
    <w:rsid w:val="00220D2D"/>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AEE"/>
    <w:rsid w:val="0023373E"/>
    <w:rsid w:val="0023377A"/>
    <w:rsid w:val="0023476A"/>
    <w:rsid w:val="002347A8"/>
    <w:rsid w:val="00235211"/>
    <w:rsid w:val="00237186"/>
    <w:rsid w:val="00237361"/>
    <w:rsid w:val="002378EC"/>
    <w:rsid w:val="00237EE5"/>
    <w:rsid w:val="00240C9B"/>
    <w:rsid w:val="00241349"/>
    <w:rsid w:val="00241C15"/>
    <w:rsid w:val="00242080"/>
    <w:rsid w:val="00242148"/>
    <w:rsid w:val="00242235"/>
    <w:rsid w:val="00242E6A"/>
    <w:rsid w:val="00243CEF"/>
    <w:rsid w:val="00243E14"/>
    <w:rsid w:val="00244AA6"/>
    <w:rsid w:val="00246231"/>
    <w:rsid w:val="0024679B"/>
    <w:rsid w:val="00247211"/>
    <w:rsid w:val="00250C0D"/>
    <w:rsid w:val="00251533"/>
    <w:rsid w:val="00251F41"/>
    <w:rsid w:val="0025247A"/>
    <w:rsid w:val="00253721"/>
    <w:rsid w:val="0025435A"/>
    <w:rsid w:val="002547BE"/>
    <w:rsid w:val="002548B0"/>
    <w:rsid w:val="00255253"/>
    <w:rsid w:val="0025535C"/>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6C1F"/>
    <w:rsid w:val="00277580"/>
    <w:rsid w:val="00280971"/>
    <w:rsid w:val="00280D4F"/>
    <w:rsid w:val="0028261A"/>
    <w:rsid w:val="00282FB2"/>
    <w:rsid w:val="00283516"/>
    <w:rsid w:val="0028576A"/>
    <w:rsid w:val="002874C9"/>
    <w:rsid w:val="00291E79"/>
    <w:rsid w:val="00292964"/>
    <w:rsid w:val="00294556"/>
    <w:rsid w:val="002960F3"/>
    <w:rsid w:val="0029652F"/>
    <w:rsid w:val="002968CF"/>
    <w:rsid w:val="00296EF4"/>
    <w:rsid w:val="002972C0"/>
    <w:rsid w:val="002A0C1E"/>
    <w:rsid w:val="002A127B"/>
    <w:rsid w:val="002A14AF"/>
    <w:rsid w:val="002A3506"/>
    <w:rsid w:val="002A3CBC"/>
    <w:rsid w:val="002A3E8A"/>
    <w:rsid w:val="002A49A6"/>
    <w:rsid w:val="002A5CCC"/>
    <w:rsid w:val="002A6C7B"/>
    <w:rsid w:val="002A7452"/>
    <w:rsid w:val="002B11C3"/>
    <w:rsid w:val="002B1A46"/>
    <w:rsid w:val="002B2506"/>
    <w:rsid w:val="002B2768"/>
    <w:rsid w:val="002B2B72"/>
    <w:rsid w:val="002B3E2B"/>
    <w:rsid w:val="002B4E83"/>
    <w:rsid w:val="002B5DAB"/>
    <w:rsid w:val="002B6BA6"/>
    <w:rsid w:val="002B6F01"/>
    <w:rsid w:val="002B7E93"/>
    <w:rsid w:val="002C076E"/>
    <w:rsid w:val="002C0F44"/>
    <w:rsid w:val="002C1460"/>
    <w:rsid w:val="002C1912"/>
    <w:rsid w:val="002C1B38"/>
    <w:rsid w:val="002C2627"/>
    <w:rsid w:val="002C33CA"/>
    <w:rsid w:val="002C39C3"/>
    <w:rsid w:val="002C3EAE"/>
    <w:rsid w:val="002C40FF"/>
    <w:rsid w:val="002C44E9"/>
    <w:rsid w:val="002C477A"/>
    <w:rsid w:val="002C5CB1"/>
    <w:rsid w:val="002C5E13"/>
    <w:rsid w:val="002C5EBF"/>
    <w:rsid w:val="002C75A5"/>
    <w:rsid w:val="002D10B5"/>
    <w:rsid w:val="002D1786"/>
    <w:rsid w:val="002D2735"/>
    <w:rsid w:val="002D3048"/>
    <w:rsid w:val="002D382A"/>
    <w:rsid w:val="002D3F02"/>
    <w:rsid w:val="002D47F3"/>
    <w:rsid w:val="002D5589"/>
    <w:rsid w:val="002D5FFD"/>
    <w:rsid w:val="002D69B5"/>
    <w:rsid w:val="002D7BD0"/>
    <w:rsid w:val="002E07ED"/>
    <w:rsid w:val="002E241B"/>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6DD9"/>
    <w:rsid w:val="0031267B"/>
    <w:rsid w:val="00313747"/>
    <w:rsid w:val="003140F3"/>
    <w:rsid w:val="003153E3"/>
    <w:rsid w:val="00316590"/>
    <w:rsid w:val="00316941"/>
    <w:rsid w:val="00316B96"/>
    <w:rsid w:val="00317A07"/>
    <w:rsid w:val="00320DF0"/>
    <w:rsid w:val="003210E3"/>
    <w:rsid w:val="00322416"/>
    <w:rsid w:val="00322663"/>
    <w:rsid w:val="003232C0"/>
    <w:rsid w:val="003232CD"/>
    <w:rsid w:val="00324345"/>
    <w:rsid w:val="003254CB"/>
    <w:rsid w:val="00325EA2"/>
    <w:rsid w:val="003264E3"/>
    <w:rsid w:val="00326C09"/>
    <w:rsid w:val="00326DBE"/>
    <w:rsid w:val="00327DE6"/>
    <w:rsid w:val="00330A9F"/>
    <w:rsid w:val="00331BE2"/>
    <w:rsid w:val="00331BE9"/>
    <w:rsid w:val="0033370A"/>
    <w:rsid w:val="0033444D"/>
    <w:rsid w:val="00335F05"/>
    <w:rsid w:val="003369C9"/>
    <w:rsid w:val="00336C64"/>
    <w:rsid w:val="003402E1"/>
    <w:rsid w:val="00340383"/>
    <w:rsid w:val="003414EF"/>
    <w:rsid w:val="00341716"/>
    <w:rsid w:val="003418FF"/>
    <w:rsid w:val="00341F46"/>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1F1D"/>
    <w:rsid w:val="0037202A"/>
    <w:rsid w:val="00372CD5"/>
    <w:rsid w:val="00373C6C"/>
    <w:rsid w:val="00374413"/>
    <w:rsid w:val="00374F03"/>
    <w:rsid w:val="003766F3"/>
    <w:rsid w:val="003773A7"/>
    <w:rsid w:val="00380990"/>
    <w:rsid w:val="00381337"/>
    <w:rsid w:val="003839BD"/>
    <w:rsid w:val="00385944"/>
    <w:rsid w:val="00385FBB"/>
    <w:rsid w:val="00386087"/>
    <w:rsid w:val="00386526"/>
    <w:rsid w:val="00386F68"/>
    <w:rsid w:val="00387150"/>
    <w:rsid w:val="00387DEF"/>
    <w:rsid w:val="003925E7"/>
    <w:rsid w:val="00393095"/>
    <w:rsid w:val="003933A4"/>
    <w:rsid w:val="00394115"/>
    <w:rsid w:val="0039432A"/>
    <w:rsid w:val="00394C42"/>
    <w:rsid w:val="003953E4"/>
    <w:rsid w:val="00395436"/>
    <w:rsid w:val="0039578F"/>
    <w:rsid w:val="00395BA7"/>
    <w:rsid w:val="00395F72"/>
    <w:rsid w:val="003A06EB"/>
    <w:rsid w:val="003A09FA"/>
    <w:rsid w:val="003A1756"/>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5B4"/>
    <w:rsid w:val="003C3DEE"/>
    <w:rsid w:val="003C4A24"/>
    <w:rsid w:val="003C4DEA"/>
    <w:rsid w:val="003C5342"/>
    <w:rsid w:val="003C6699"/>
    <w:rsid w:val="003C7359"/>
    <w:rsid w:val="003C746E"/>
    <w:rsid w:val="003C77EB"/>
    <w:rsid w:val="003D002F"/>
    <w:rsid w:val="003D0A0A"/>
    <w:rsid w:val="003D13D8"/>
    <w:rsid w:val="003D1E07"/>
    <w:rsid w:val="003D2811"/>
    <w:rsid w:val="003D35A3"/>
    <w:rsid w:val="003D3833"/>
    <w:rsid w:val="003D5252"/>
    <w:rsid w:val="003D6E3B"/>
    <w:rsid w:val="003D71F0"/>
    <w:rsid w:val="003E01CF"/>
    <w:rsid w:val="003E10E5"/>
    <w:rsid w:val="003E420E"/>
    <w:rsid w:val="003E432C"/>
    <w:rsid w:val="003E4AC9"/>
    <w:rsid w:val="003E4D6D"/>
    <w:rsid w:val="003E5479"/>
    <w:rsid w:val="003E68D9"/>
    <w:rsid w:val="003E72D6"/>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1B60"/>
    <w:rsid w:val="00403823"/>
    <w:rsid w:val="004047A6"/>
    <w:rsid w:val="0040605A"/>
    <w:rsid w:val="00406DA6"/>
    <w:rsid w:val="00406F68"/>
    <w:rsid w:val="00407021"/>
    <w:rsid w:val="00407370"/>
    <w:rsid w:val="00407A78"/>
    <w:rsid w:val="00411200"/>
    <w:rsid w:val="0041289D"/>
    <w:rsid w:val="0041314D"/>
    <w:rsid w:val="00413B1E"/>
    <w:rsid w:val="0041409C"/>
    <w:rsid w:val="0041426E"/>
    <w:rsid w:val="0041545F"/>
    <w:rsid w:val="00416015"/>
    <w:rsid w:val="0041634C"/>
    <w:rsid w:val="00416B34"/>
    <w:rsid w:val="00420A84"/>
    <w:rsid w:val="00421296"/>
    <w:rsid w:val="00422E4D"/>
    <w:rsid w:val="0042563A"/>
    <w:rsid w:val="00427131"/>
    <w:rsid w:val="004273D0"/>
    <w:rsid w:val="00427E22"/>
    <w:rsid w:val="0043054E"/>
    <w:rsid w:val="0043176C"/>
    <w:rsid w:val="00432148"/>
    <w:rsid w:val="0043242A"/>
    <w:rsid w:val="00432766"/>
    <w:rsid w:val="00433638"/>
    <w:rsid w:val="00434010"/>
    <w:rsid w:val="00434CF8"/>
    <w:rsid w:val="004355DD"/>
    <w:rsid w:val="00435717"/>
    <w:rsid w:val="004370B3"/>
    <w:rsid w:val="00441172"/>
    <w:rsid w:val="00441323"/>
    <w:rsid w:val="004414EE"/>
    <w:rsid w:val="00441565"/>
    <w:rsid w:val="00441F66"/>
    <w:rsid w:val="00442074"/>
    <w:rsid w:val="0044381E"/>
    <w:rsid w:val="00443DCD"/>
    <w:rsid w:val="00445C4A"/>
    <w:rsid w:val="00445D9A"/>
    <w:rsid w:val="004469A9"/>
    <w:rsid w:val="00446CC3"/>
    <w:rsid w:val="0044790B"/>
    <w:rsid w:val="00450275"/>
    <w:rsid w:val="004502D8"/>
    <w:rsid w:val="0045057C"/>
    <w:rsid w:val="004517BB"/>
    <w:rsid w:val="0045219F"/>
    <w:rsid w:val="004525D7"/>
    <w:rsid w:val="00452944"/>
    <w:rsid w:val="00452D8A"/>
    <w:rsid w:val="00453362"/>
    <w:rsid w:val="0045392A"/>
    <w:rsid w:val="004542ED"/>
    <w:rsid w:val="004559C3"/>
    <w:rsid w:val="00455AF6"/>
    <w:rsid w:val="00455FDE"/>
    <w:rsid w:val="00456080"/>
    <w:rsid w:val="0045627E"/>
    <w:rsid w:val="00457648"/>
    <w:rsid w:val="0045778D"/>
    <w:rsid w:val="00460046"/>
    <w:rsid w:val="004608B3"/>
    <w:rsid w:val="00460ED4"/>
    <w:rsid w:val="00462652"/>
    <w:rsid w:val="00462B19"/>
    <w:rsid w:val="00463D29"/>
    <w:rsid w:val="004659A2"/>
    <w:rsid w:val="00465A6B"/>
    <w:rsid w:val="004662E6"/>
    <w:rsid w:val="004667D5"/>
    <w:rsid w:val="00466F63"/>
    <w:rsid w:val="00466FB4"/>
    <w:rsid w:val="0047158C"/>
    <w:rsid w:val="004722A2"/>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955"/>
    <w:rsid w:val="00483F4B"/>
    <w:rsid w:val="00484415"/>
    <w:rsid w:val="00490624"/>
    <w:rsid w:val="004921C2"/>
    <w:rsid w:val="004925C8"/>
    <w:rsid w:val="00492B0C"/>
    <w:rsid w:val="00494866"/>
    <w:rsid w:val="00494993"/>
    <w:rsid w:val="0049588B"/>
    <w:rsid w:val="00495BB8"/>
    <w:rsid w:val="00496AF0"/>
    <w:rsid w:val="00496B2B"/>
    <w:rsid w:val="00497D90"/>
    <w:rsid w:val="004A0013"/>
    <w:rsid w:val="004A225A"/>
    <w:rsid w:val="004A236D"/>
    <w:rsid w:val="004A24A6"/>
    <w:rsid w:val="004A2DE8"/>
    <w:rsid w:val="004A3D82"/>
    <w:rsid w:val="004A63E5"/>
    <w:rsid w:val="004B12AD"/>
    <w:rsid w:val="004B1BE5"/>
    <w:rsid w:val="004B2453"/>
    <w:rsid w:val="004B38A3"/>
    <w:rsid w:val="004B5782"/>
    <w:rsid w:val="004B759C"/>
    <w:rsid w:val="004C07AF"/>
    <w:rsid w:val="004C0B2C"/>
    <w:rsid w:val="004C0FB9"/>
    <w:rsid w:val="004C18F8"/>
    <w:rsid w:val="004C1E55"/>
    <w:rsid w:val="004C2CCF"/>
    <w:rsid w:val="004C3E5D"/>
    <w:rsid w:val="004C3F08"/>
    <w:rsid w:val="004C4640"/>
    <w:rsid w:val="004C4D43"/>
    <w:rsid w:val="004C4FAA"/>
    <w:rsid w:val="004C5352"/>
    <w:rsid w:val="004C5C99"/>
    <w:rsid w:val="004C5F78"/>
    <w:rsid w:val="004C6118"/>
    <w:rsid w:val="004C6264"/>
    <w:rsid w:val="004C63B7"/>
    <w:rsid w:val="004C696F"/>
    <w:rsid w:val="004C6BBE"/>
    <w:rsid w:val="004C7410"/>
    <w:rsid w:val="004D0196"/>
    <w:rsid w:val="004D0FDB"/>
    <w:rsid w:val="004D2173"/>
    <w:rsid w:val="004D244D"/>
    <w:rsid w:val="004D338F"/>
    <w:rsid w:val="004D34B1"/>
    <w:rsid w:val="004D4751"/>
    <w:rsid w:val="004D64FE"/>
    <w:rsid w:val="004D65EE"/>
    <w:rsid w:val="004D691A"/>
    <w:rsid w:val="004D6C06"/>
    <w:rsid w:val="004D732B"/>
    <w:rsid w:val="004D7A3E"/>
    <w:rsid w:val="004D7DC7"/>
    <w:rsid w:val="004E11A9"/>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E43"/>
    <w:rsid w:val="004F1269"/>
    <w:rsid w:val="004F1C64"/>
    <w:rsid w:val="004F25EC"/>
    <w:rsid w:val="004F374C"/>
    <w:rsid w:val="004F3EB8"/>
    <w:rsid w:val="004F3F0F"/>
    <w:rsid w:val="004F4496"/>
    <w:rsid w:val="004F49E7"/>
    <w:rsid w:val="004F4B0E"/>
    <w:rsid w:val="004F5086"/>
    <w:rsid w:val="004F5F86"/>
    <w:rsid w:val="004F618C"/>
    <w:rsid w:val="004F76EF"/>
    <w:rsid w:val="004F7AAC"/>
    <w:rsid w:val="00501DC4"/>
    <w:rsid w:val="0050283A"/>
    <w:rsid w:val="00502E5B"/>
    <w:rsid w:val="00502E66"/>
    <w:rsid w:val="00502F81"/>
    <w:rsid w:val="0050309D"/>
    <w:rsid w:val="00503D73"/>
    <w:rsid w:val="00504712"/>
    <w:rsid w:val="00505A25"/>
    <w:rsid w:val="005069F0"/>
    <w:rsid w:val="00510880"/>
    <w:rsid w:val="00510BB7"/>
    <w:rsid w:val="00511929"/>
    <w:rsid w:val="00512334"/>
    <w:rsid w:val="00513B1C"/>
    <w:rsid w:val="005147FF"/>
    <w:rsid w:val="0051588D"/>
    <w:rsid w:val="005165D5"/>
    <w:rsid w:val="00516932"/>
    <w:rsid w:val="00516D47"/>
    <w:rsid w:val="00517286"/>
    <w:rsid w:val="005205F6"/>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779"/>
    <w:rsid w:val="005300FE"/>
    <w:rsid w:val="00532103"/>
    <w:rsid w:val="005324DF"/>
    <w:rsid w:val="00532D35"/>
    <w:rsid w:val="00532F04"/>
    <w:rsid w:val="00533518"/>
    <w:rsid w:val="00533667"/>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6DEB"/>
    <w:rsid w:val="005476C8"/>
    <w:rsid w:val="0054774A"/>
    <w:rsid w:val="00551107"/>
    <w:rsid w:val="005518B4"/>
    <w:rsid w:val="0055250B"/>
    <w:rsid w:val="00552A8A"/>
    <w:rsid w:val="00553DF6"/>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2F52"/>
    <w:rsid w:val="005634A9"/>
    <w:rsid w:val="005636A6"/>
    <w:rsid w:val="005643E8"/>
    <w:rsid w:val="005644F8"/>
    <w:rsid w:val="00564D6C"/>
    <w:rsid w:val="005651B9"/>
    <w:rsid w:val="005654BE"/>
    <w:rsid w:val="00565879"/>
    <w:rsid w:val="00566529"/>
    <w:rsid w:val="00567533"/>
    <w:rsid w:val="00567BB1"/>
    <w:rsid w:val="00571DBA"/>
    <w:rsid w:val="005726F3"/>
    <w:rsid w:val="00573617"/>
    <w:rsid w:val="0057439E"/>
    <w:rsid w:val="00574DC1"/>
    <w:rsid w:val="00575569"/>
    <w:rsid w:val="00575672"/>
    <w:rsid w:val="00575895"/>
    <w:rsid w:val="0057684F"/>
    <w:rsid w:val="005769CA"/>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569E"/>
    <w:rsid w:val="00595962"/>
    <w:rsid w:val="00595DC2"/>
    <w:rsid w:val="005967EE"/>
    <w:rsid w:val="00597461"/>
    <w:rsid w:val="005977A9"/>
    <w:rsid w:val="00597CF0"/>
    <w:rsid w:val="005A0B3D"/>
    <w:rsid w:val="005A0F39"/>
    <w:rsid w:val="005A2394"/>
    <w:rsid w:val="005A2822"/>
    <w:rsid w:val="005A3ADA"/>
    <w:rsid w:val="005A4528"/>
    <w:rsid w:val="005A4E57"/>
    <w:rsid w:val="005A5D84"/>
    <w:rsid w:val="005A6080"/>
    <w:rsid w:val="005A63E9"/>
    <w:rsid w:val="005A6690"/>
    <w:rsid w:val="005A68EE"/>
    <w:rsid w:val="005A6EB6"/>
    <w:rsid w:val="005A7811"/>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6045"/>
    <w:rsid w:val="005B6590"/>
    <w:rsid w:val="005B7B7A"/>
    <w:rsid w:val="005B7F8C"/>
    <w:rsid w:val="005C0C37"/>
    <w:rsid w:val="005C4263"/>
    <w:rsid w:val="005C464D"/>
    <w:rsid w:val="005C4A34"/>
    <w:rsid w:val="005C4CDD"/>
    <w:rsid w:val="005C4D66"/>
    <w:rsid w:val="005C512B"/>
    <w:rsid w:val="005C613B"/>
    <w:rsid w:val="005C619B"/>
    <w:rsid w:val="005C6E9F"/>
    <w:rsid w:val="005C6EB2"/>
    <w:rsid w:val="005C6F03"/>
    <w:rsid w:val="005C78BD"/>
    <w:rsid w:val="005C7EC8"/>
    <w:rsid w:val="005C7F10"/>
    <w:rsid w:val="005D0515"/>
    <w:rsid w:val="005D0E6E"/>
    <w:rsid w:val="005D21C1"/>
    <w:rsid w:val="005D2E03"/>
    <w:rsid w:val="005D3AC6"/>
    <w:rsid w:val="005D4733"/>
    <w:rsid w:val="005D6D07"/>
    <w:rsid w:val="005D7846"/>
    <w:rsid w:val="005D7AB9"/>
    <w:rsid w:val="005E2C99"/>
    <w:rsid w:val="005E30D1"/>
    <w:rsid w:val="005E4137"/>
    <w:rsid w:val="005E4AAD"/>
    <w:rsid w:val="005E523D"/>
    <w:rsid w:val="005E60F5"/>
    <w:rsid w:val="005E6A7D"/>
    <w:rsid w:val="005E7B45"/>
    <w:rsid w:val="005E7BA1"/>
    <w:rsid w:val="005F1172"/>
    <w:rsid w:val="005F1419"/>
    <w:rsid w:val="005F163A"/>
    <w:rsid w:val="005F24C8"/>
    <w:rsid w:val="005F2FBA"/>
    <w:rsid w:val="005F3B71"/>
    <w:rsid w:val="005F3CFC"/>
    <w:rsid w:val="005F41D4"/>
    <w:rsid w:val="005F5B90"/>
    <w:rsid w:val="005F77A5"/>
    <w:rsid w:val="00601714"/>
    <w:rsid w:val="006020B8"/>
    <w:rsid w:val="006023A2"/>
    <w:rsid w:val="006030CD"/>
    <w:rsid w:val="006045E3"/>
    <w:rsid w:val="00605186"/>
    <w:rsid w:val="0060542B"/>
    <w:rsid w:val="00605AC8"/>
    <w:rsid w:val="0060710A"/>
    <w:rsid w:val="006075EB"/>
    <w:rsid w:val="00607642"/>
    <w:rsid w:val="00610B2E"/>
    <w:rsid w:val="00611844"/>
    <w:rsid w:val="00611BD5"/>
    <w:rsid w:val="00611D13"/>
    <w:rsid w:val="006124EC"/>
    <w:rsid w:val="006137A4"/>
    <w:rsid w:val="006144CE"/>
    <w:rsid w:val="0061497F"/>
    <w:rsid w:val="00614D33"/>
    <w:rsid w:val="0061597A"/>
    <w:rsid w:val="00616A3B"/>
    <w:rsid w:val="00616B49"/>
    <w:rsid w:val="00617997"/>
    <w:rsid w:val="00617E4F"/>
    <w:rsid w:val="00620516"/>
    <w:rsid w:val="0062136D"/>
    <w:rsid w:val="00622715"/>
    <w:rsid w:val="00622BCB"/>
    <w:rsid w:val="006234A2"/>
    <w:rsid w:val="00624B01"/>
    <w:rsid w:val="006253D5"/>
    <w:rsid w:val="00625F2E"/>
    <w:rsid w:val="0062605F"/>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3429"/>
    <w:rsid w:val="00643E26"/>
    <w:rsid w:val="00643F89"/>
    <w:rsid w:val="006441C6"/>
    <w:rsid w:val="006442C3"/>
    <w:rsid w:val="0064658F"/>
    <w:rsid w:val="00646B6F"/>
    <w:rsid w:val="0064712A"/>
    <w:rsid w:val="006471BB"/>
    <w:rsid w:val="00650350"/>
    <w:rsid w:val="00650418"/>
    <w:rsid w:val="00650767"/>
    <w:rsid w:val="00650D4C"/>
    <w:rsid w:val="006514AD"/>
    <w:rsid w:val="00651518"/>
    <w:rsid w:val="00651589"/>
    <w:rsid w:val="00651BA8"/>
    <w:rsid w:val="00652282"/>
    <w:rsid w:val="00652723"/>
    <w:rsid w:val="0065275D"/>
    <w:rsid w:val="0065339E"/>
    <w:rsid w:val="00653E9A"/>
    <w:rsid w:val="00656B4B"/>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EC4"/>
    <w:rsid w:val="00673C8C"/>
    <w:rsid w:val="00673FE1"/>
    <w:rsid w:val="006742A5"/>
    <w:rsid w:val="0067535B"/>
    <w:rsid w:val="00676BF1"/>
    <w:rsid w:val="00676CE2"/>
    <w:rsid w:val="00676D52"/>
    <w:rsid w:val="006773E9"/>
    <w:rsid w:val="0068034F"/>
    <w:rsid w:val="00680E5F"/>
    <w:rsid w:val="006810AD"/>
    <w:rsid w:val="006811F9"/>
    <w:rsid w:val="00681E36"/>
    <w:rsid w:val="00682082"/>
    <w:rsid w:val="00682876"/>
    <w:rsid w:val="006839CB"/>
    <w:rsid w:val="00684614"/>
    <w:rsid w:val="00684BE7"/>
    <w:rsid w:val="00684F77"/>
    <w:rsid w:val="006867DA"/>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A7FF0"/>
    <w:rsid w:val="006B048D"/>
    <w:rsid w:val="006B1614"/>
    <w:rsid w:val="006B17ED"/>
    <w:rsid w:val="006B1A92"/>
    <w:rsid w:val="006B1CDA"/>
    <w:rsid w:val="006B2B16"/>
    <w:rsid w:val="006B2CC2"/>
    <w:rsid w:val="006B35A1"/>
    <w:rsid w:val="006B362D"/>
    <w:rsid w:val="006B3E96"/>
    <w:rsid w:val="006B42CD"/>
    <w:rsid w:val="006B53D3"/>
    <w:rsid w:val="006B5DCA"/>
    <w:rsid w:val="006B67DB"/>
    <w:rsid w:val="006B68D7"/>
    <w:rsid w:val="006B7793"/>
    <w:rsid w:val="006B77E9"/>
    <w:rsid w:val="006B7912"/>
    <w:rsid w:val="006C062B"/>
    <w:rsid w:val="006C10EA"/>
    <w:rsid w:val="006C20D9"/>
    <w:rsid w:val="006C5EFA"/>
    <w:rsid w:val="006C6A41"/>
    <w:rsid w:val="006C7041"/>
    <w:rsid w:val="006C770C"/>
    <w:rsid w:val="006C77EC"/>
    <w:rsid w:val="006C7C24"/>
    <w:rsid w:val="006D0283"/>
    <w:rsid w:val="006D1D73"/>
    <w:rsid w:val="006D33C0"/>
    <w:rsid w:val="006D365E"/>
    <w:rsid w:val="006D385A"/>
    <w:rsid w:val="006D4F4A"/>
    <w:rsid w:val="006D5AC9"/>
    <w:rsid w:val="006D5EB4"/>
    <w:rsid w:val="006D6867"/>
    <w:rsid w:val="006D6F17"/>
    <w:rsid w:val="006D7269"/>
    <w:rsid w:val="006E01E1"/>
    <w:rsid w:val="006E0B5D"/>
    <w:rsid w:val="006E0D0B"/>
    <w:rsid w:val="006E1442"/>
    <w:rsid w:val="006E1A6B"/>
    <w:rsid w:val="006E25DC"/>
    <w:rsid w:val="006E29B9"/>
    <w:rsid w:val="006E2B55"/>
    <w:rsid w:val="006E30CC"/>
    <w:rsid w:val="006E39BD"/>
    <w:rsid w:val="006E3DD7"/>
    <w:rsid w:val="006E4299"/>
    <w:rsid w:val="006E4425"/>
    <w:rsid w:val="006E51E2"/>
    <w:rsid w:val="006E57DF"/>
    <w:rsid w:val="006E58D2"/>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20BA"/>
    <w:rsid w:val="007074C0"/>
    <w:rsid w:val="007079FC"/>
    <w:rsid w:val="00710906"/>
    <w:rsid w:val="00710D9B"/>
    <w:rsid w:val="00710DA2"/>
    <w:rsid w:val="00710E36"/>
    <w:rsid w:val="007124A3"/>
    <w:rsid w:val="00712D65"/>
    <w:rsid w:val="007130A9"/>
    <w:rsid w:val="00713A52"/>
    <w:rsid w:val="00713CD3"/>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301B8"/>
    <w:rsid w:val="00730985"/>
    <w:rsid w:val="007323DC"/>
    <w:rsid w:val="007338C8"/>
    <w:rsid w:val="007345F6"/>
    <w:rsid w:val="007348F8"/>
    <w:rsid w:val="007349FB"/>
    <w:rsid w:val="0073516A"/>
    <w:rsid w:val="0073637A"/>
    <w:rsid w:val="00736481"/>
    <w:rsid w:val="007374E8"/>
    <w:rsid w:val="007409D3"/>
    <w:rsid w:val="00740D39"/>
    <w:rsid w:val="007413B9"/>
    <w:rsid w:val="00741535"/>
    <w:rsid w:val="007425CB"/>
    <w:rsid w:val="007425E6"/>
    <w:rsid w:val="007427F5"/>
    <w:rsid w:val="00743B76"/>
    <w:rsid w:val="0074591B"/>
    <w:rsid w:val="007459CF"/>
    <w:rsid w:val="0075024D"/>
    <w:rsid w:val="00753C8E"/>
    <w:rsid w:val="00753DD1"/>
    <w:rsid w:val="00753DDE"/>
    <w:rsid w:val="007541AB"/>
    <w:rsid w:val="00755CAC"/>
    <w:rsid w:val="00755D20"/>
    <w:rsid w:val="007563F9"/>
    <w:rsid w:val="00756C15"/>
    <w:rsid w:val="007572E2"/>
    <w:rsid w:val="007576BA"/>
    <w:rsid w:val="00760A12"/>
    <w:rsid w:val="00760F3C"/>
    <w:rsid w:val="007614DF"/>
    <w:rsid w:val="00761C30"/>
    <w:rsid w:val="00763207"/>
    <w:rsid w:val="00763508"/>
    <w:rsid w:val="00763901"/>
    <w:rsid w:val="00763D85"/>
    <w:rsid w:val="00764057"/>
    <w:rsid w:val="00765CC7"/>
    <w:rsid w:val="007660CD"/>
    <w:rsid w:val="00766419"/>
    <w:rsid w:val="00766C3B"/>
    <w:rsid w:val="00767771"/>
    <w:rsid w:val="00771263"/>
    <w:rsid w:val="007716CF"/>
    <w:rsid w:val="00771A36"/>
    <w:rsid w:val="007727D6"/>
    <w:rsid w:val="0077295E"/>
    <w:rsid w:val="00773D1D"/>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4690"/>
    <w:rsid w:val="0078478C"/>
    <w:rsid w:val="007848CC"/>
    <w:rsid w:val="00784FDC"/>
    <w:rsid w:val="0078513E"/>
    <w:rsid w:val="00785EFF"/>
    <w:rsid w:val="00787D74"/>
    <w:rsid w:val="0079130B"/>
    <w:rsid w:val="00791653"/>
    <w:rsid w:val="00792A9D"/>
    <w:rsid w:val="00793896"/>
    <w:rsid w:val="007941DF"/>
    <w:rsid w:val="00794444"/>
    <w:rsid w:val="0079468C"/>
    <w:rsid w:val="00795DC1"/>
    <w:rsid w:val="007963D1"/>
    <w:rsid w:val="007965AF"/>
    <w:rsid w:val="0079687A"/>
    <w:rsid w:val="00797AC4"/>
    <w:rsid w:val="00797B98"/>
    <w:rsid w:val="007A14F4"/>
    <w:rsid w:val="007A163A"/>
    <w:rsid w:val="007A46E3"/>
    <w:rsid w:val="007A517D"/>
    <w:rsid w:val="007A5684"/>
    <w:rsid w:val="007A56D2"/>
    <w:rsid w:val="007A56F1"/>
    <w:rsid w:val="007A6062"/>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75A1"/>
    <w:rsid w:val="007C7ADF"/>
    <w:rsid w:val="007C7D9A"/>
    <w:rsid w:val="007D0EBE"/>
    <w:rsid w:val="007D1C44"/>
    <w:rsid w:val="007D1D15"/>
    <w:rsid w:val="007D1F19"/>
    <w:rsid w:val="007D3B2C"/>
    <w:rsid w:val="007D42E8"/>
    <w:rsid w:val="007D5D5E"/>
    <w:rsid w:val="007D7679"/>
    <w:rsid w:val="007D7947"/>
    <w:rsid w:val="007E058F"/>
    <w:rsid w:val="007E1C8C"/>
    <w:rsid w:val="007E205A"/>
    <w:rsid w:val="007E3405"/>
    <w:rsid w:val="007E34A8"/>
    <w:rsid w:val="007E41F2"/>
    <w:rsid w:val="007E48B5"/>
    <w:rsid w:val="007E6081"/>
    <w:rsid w:val="007E6121"/>
    <w:rsid w:val="007E709F"/>
    <w:rsid w:val="007E734E"/>
    <w:rsid w:val="007E765F"/>
    <w:rsid w:val="007E7CA0"/>
    <w:rsid w:val="007F087E"/>
    <w:rsid w:val="007F0B33"/>
    <w:rsid w:val="007F0B48"/>
    <w:rsid w:val="007F0BAD"/>
    <w:rsid w:val="007F1F2A"/>
    <w:rsid w:val="007F3330"/>
    <w:rsid w:val="007F43C2"/>
    <w:rsid w:val="007F4CA3"/>
    <w:rsid w:val="007F647D"/>
    <w:rsid w:val="007F6D41"/>
    <w:rsid w:val="007F7330"/>
    <w:rsid w:val="007F750D"/>
    <w:rsid w:val="007F794F"/>
    <w:rsid w:val="008029B2"/>
    <w:rsid w:val="00802E9D"/>
    <w:rsid w:val="00804402"/>
    <w:rsid w:val="00804FDD"/>
    <w:rsid w:val="008059CB"/>
    <w:rsid w:val="008061AB"/>
    <w:rsid w:val="008065B4"/>
    <w:rsid w:val="008109BE"/>
    <w:rsid w:val="00812EB7"/>
    <w:rsid w:val="0081360D"/>
    <w:rsid w:val="00813EB4"/>
    <w:rsid w:val="008144F4"/>
    <w:rsid w:val="00814968"/>
    <w:rsid w:val="00814A49"/>
    <w:rsid w:val="00815245"/>
    <w:rsid w:val="008162B3"/>
    <w:rsid w:val="00816D8D"/>
    <w:rsid w:val="00817AC1"/>
    <w:rsid w:val="00817D9F"/>
    <w:rsid w:val="0082109C"/>
    <w:rsid w:val="00821290"/>
    <w:rsid w:val="00821B1A"/>
    <w:rsid w:val="0082202C"/>
    <w:rsid w:val="00822912"/>
    <w:rsid w:val="00822C2E"/>
    <w:rsid w:val="008232F5"/>
    <w:rsid w:val="008235ED"/>
    <w:rsid w:val="00823C42"/>
    <w:rsid w:val="00824308"/>
    <w:rsid w:val="00824BD3"/>
    <w:rsid w:val="008265DB"/>
    <w:rsid w:val="00826A78"/>
    <w:rsid w:val="00826B17"/>
    <w:rsid w:val="0082730A"/>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722"/>
    <w:rsid w:val="008449E3"/>
    <w:rsid w:val="00844F2F"/>
    <w:rsid w:val="00846521"/>
    <w:rsid w:val="008466CA"/>
    <w:rsid w:val="00846CE8"/>
    <w:rsid w:val="00847048"/>
    <w:rsid w:val="008471B7"/>
    <w:rsid w:val="008471C4"/>
    <w:rsid w:val="00847385"/>
    <w:rsid w:val="00847843"/>
    <w:rsid w:val="00847A88"/>
    <w:rsid w:val="00847D22"/>
    <w:rsid w:val="00850E08"/>
    <w:rsid w:val="00851C77"/>
    <w:rsid w:val="00851D97"/>
    <w:rsid w:val="008522D3"/>
    <w:rsid w:val="008524D2"/>
    <w:rsid w:val="008524FC"/>
    <w:rsid w:val="00852630"/>
    <w:rsid w:val="008539EE"/>
    <w:rsid w:val="008553B2"/>
    <w:rsid w:val="008557ED"/>
    <w:rsid w:val="00855903"/>
    <w:rsid w:val="00861B88"/>
    <w:rsid w:val="00861F7D"/>
    <w:rsid w:val="00863302"/>
    <w:rsid w:val="008644B1"/>
    <w:rsid w:val="00866362"/>
    <w:rsid w:val="0086636C"/>
    <w:rsid w:val="008671E2"/>
    <w:rsid w:val="00867941"/>
    <w:rsid w:val="00867F31"/>
    <w:rsid w:val="00870E1A"/>
    <w:rsid w:val="008720A7"/>
    <w:rsid w:val="0087232F"/>
    <w:rsid w:val="008724E9"/>
    <w:rsid w:val="00872766"/>
    <w:rsid w:val="00873274"/>
    <w:rsid w:val="00873459"/>
    <w:rsid w:val="008737E9"/>
    <w:rsid w:val="008744BC"/>
    <w:rsid w:val="00875709"/>
    <w:rsid w:val="00876C30"/>
    <w:rsid w:val="00881BC7"/>
    <w:rsid w:val="00881DA3"/>
    <w:rsid w:val="00882313"/>
    <w:rsid w:val="00883827"/>
    <w:rsid w:val="00884CF0"/>
    <w:rsid w:val="0088589D"/>
    <w:rsid w:val="008858D1"/>
    <w:rsid w:val="00886116"/>
    <w:rsid w:val="00887CEB"/>
    <w:rsid w:val="00887FDD"/>
    <w:rsid w:val="00890757"/>
    <w:rsid w:val="008909A8"/>
    <w:rsid w:val="00890D42"/>
    <w:rsid w:val="008918F4"/>
    <w:rsid w:val="00891926"/>
    <w:rsid w:val="008919BA"/>
    <w:rsid w:val="00891CBF"/>
    <w:rsid w:val="00892CAB"/>
    <w:rsid w:val="00893991"/>
    <w:rsid w:val="0089542D"/>
    <w:rsid w:val="008958BB"/>
    <w:rsid w:val="008A01CB"/>
    <w:rsid w:val="008A105A"/>
    <w:rsid w:val="008A1C04"/>
    <w:rsid w:val="008A2779"/>
    <w:rsid w:val="008A2AD9"/>
    <w:rsid w:val="008A3630"/>
    <w:rsid w:val="008A41BA"/>
    <w:rsid w:val="008A4257"/>
    <w:rsid w:val="008A4836"/>
    <w:rsid w:val="008A68A7"/>
    <w:rsid w:val="008A6F60"/>
    <w:rsid w:val="008A6F63"/>
    <w:rsid w:val="008A73AA"/>
    <w:rsid w:val="008A76D4"/>
    <w:rsid w:val="008B0295"/>
    <w:rsid w:val="008B17B6"/>
    <w:rsid w:val="008B1963"/>
    <w:rsid w:val="008B1BE7"/>
    <w:rsid w:val="008B37A5"/>
    <w:rsid w:val="008B525E"/>
    <w:rsid w:val="008B5A6D"/>
    <w:rsid w:val="008B5D73"/>
    <w:rsid w:val="008B6169"/>
    <w:rsid w:val="008B6802"/>
    <w:rsid w:val="008B6D7F"/>
    <w:rsid w:val="008B74D7"/>
    <w:rsid w:val="008C0FE3"/>
    <w:rsid w:val="008C1158"/>
    <w:rsid w:val="008C1AF6"/>
    <w:rsid w:val="008C2E48"/>
    <w:rsid w:val="008C3F51"/>
    <w:rsid w:val="008C57AC"/>
    <w:rsid w:val="008C6582"/>
    <w:rsid w:val="008C6E5C"/>
    <w:rsid w:val="008C774F"/>
    <w:rsid w:val="008D1021"/>
    <w:rsid w:val="008D1E33"/>
    <w:rsid w:val="008D2A54"/>
    <w:rsid w:val="008D2BAF"/>
    <w:rsid w:val="008D337E"/>
    <w:rsid w:val="008D3665"/>
    <w:rsid w:val="008D4A72"/>
    <w:rsid w:val="008D4F4C"/>
    <w:rsid w:val="008D50A2"/>
    <w:rsid w:val="008D5E71"/>
    <w:rsid w:val="008D73CD"/>
    <w:rsid w:val="008E0D71"/>
    <w:rsid w:val="008E0F85"/>
    <w:rsid w:val="008E1925"/>
    <w:rsid w:val="008E1A89"/>
    <w:rsid w:val="008E1E97"/>
    <w:rsid w:val="008E52F6"/>
    <w:rsid w:val="008E6B93"/>
    <w:rsid w:val="008E76FC"/>
    <w:rsid w:val="008F2A5A"/>
    <w:rsid w:val="008F398B"/>
    <w:rsid w:val="008F3EF5"/>
    <w:rsid w:val="008F3FFA"/>
    <w:rsid w:val="008F4A59"/>
    <w:rsid w:val="008F4E92"/>
    <w:rsid w:val="008F50E2"/>
    <w:rsid w:val="008F5B12"/>
    <w:rsid w:val="008F619D"/>
    <w:rsid w:val="008F61A4"/>
    <w:rsid w:val="008F6AAD"/>
    <w:rsid w:val="008F7251"/>
    <w:rsid w:val="008F7726"/>
    <w:rsid w:val="00900AE3"/>
    <w:rsid w:val="00901116"/>
    <w:rsid w:val="0090242D"/>
    <w:rsid w:val="009027E6"/>
    <w:rsid w:val="00902874"/>
    <w:rsid w:val="00903E8C"/>
    <w:rsid w:val="00904B1B"/>
    <w:rsid w:val="0090501C"/>
    <w:rsid w:val="00905495"/>
    <w:rsid w:val="00906B13"/>
    <w:rsid w:val="00906CE8"/>
    <w:rsid w:val="0090767E"/>
    <w:rsid w:val="009079A8"/>
    <w:rsid w:val="009079F8"/>
    <w:rsid w:val="00910AB5"/>
    <w:rsid w:val="00910C17"/>
    <w:rsid w:val="00911E91"/>
    <w:rsid w:val="00913341"/>
    <w:rsid w:val="00914860"/>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408"/>
    <w:rsid w:val="00937A59"/>
    <w:rsid w:val="00940CFF"/>
    <w:rsid w:val="00942170"/>
    <w:rsid w:val="00942CC3"/>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603"/>
    <w:rsid w:val="00953663"/>
    <w:rsid w:val="00953808"/>
    <w:rsid w:val="009544BF"/>
    <w:rsid w:val="0095619B"/>
    <w:rsid w:val="00956A06"/>
    <w:rsid w:val="00956EC0"/>
    <w:rsid w:val="009572D0"/>
    <w:rsid w:val="00961136"/>
    <w:rsid w:val="00962D5A"/>
    <w:rsid w:val="009630F7"/>
    <w:rsid w:val="00963598"/>
    <w:rsid w:val="00963697"/>
    <w:rsid w:val="009658BD"/>
    <w:rsid w:val="009659CD"/>
    <w:rsid w:val="00970C98"/>
    <w:rsid w:val="0097108B"/>
    <w:rsid w:val="00971335"/>
    <w:rsid w:val="00973BBE"/>
    <w:rsid w:val="00974045"/>
    <w:rsid w:val="00974C39"/>
    <w:rsid w:val="00974F18"/>
    <w:rsid w:val="00974F5F"/>
    <w:rsid w:val="0097510A"/>
    <w:rsid w:val="00975D97"/>
    <w:rsid w:val="0097602D"/>
    <w:rsid w:val="009762FA"/>
    <w:rsid w:val="00976953"/>
    <w:rsid w:val="009773C6"/>
    <w:rsid w:val="009773C8"/>
    <w:rsid w:val="0097775D"/>
    <w:rsid w:val="00980117"/>
    <w:rsid w:val="00980524"/>
    <w:rsid w:val="009814C8"/>
    <w:rsid w:val="00981F85"/>
    <w:rsid w:val="009825C0"/>
    <w:rsid w:val="0098412D"/>
    <w:rsid w:val="009845CF"/>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E34"/>
    <w:rsid w:val="00996D2C"/>
    <w:rsid w:val="00997783"/>
    <w:rsid w:val="009A01D0"/>
    <w:rsid w:val="009A0417"/>
    <w:rsid w:val="009A0894"/>
    <w:rsid w:val="009A16D3"/>
    <w:rsid w:val="009A185F"/>
    <w:rsid w:val="009A244E"/>
    <w:rsid w:val="009A3AFF"/>
    <w:rsid w:val="009A71F0"/>
    <w:rsid w:val="009A7D0E"/>
    <w:rsid w:val="009B07B3"/>
    <w:rsid w:val="009B0A15"/>
    <w:rsid w:val="009B0E95"/>
    <w:rsid w:val="009B256C"/>
    <w:rsid w:val="009B36B4"/>
    <w:rsid w:val="009B42C7"/>
    <w:rsid w:val="009B4484"/>
    <w:rsid w:val="009B5529"/>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53E9"/>
    <w:rsid w:val="009D5641"/>
    <w:rsid w:val="009D6783"/>
    <w:rsid w:val="009D685E"/>
    <w:rsid w:val="009D6B85"/>
    <w:rsid w:val="009D7DCF"/>
    <w:rsid w:val="009E1C6C"/>
    <w:rsid w:val="009E1D25"/>
    <w:rsid w:val="009E2119"/>
    <w:rsid w:val="009E3036"/>
    <w:rsid w:val="009E4E14"/>
    <w:rsid w:val="009E59D2"/>
    <w:rsid w:val="009E61D2"/>
    <w:rsid w:val="009F071D"/>
    <w:rsid w:val="009F0AC9"/>
    <w:rsid w:val="009F1718"/>
    <w:rsid w:val="009F3518"/>
    <w:rsid w:val="009F4741"/>
    <w:rsid w:val="009F62BD"/>
    <w:rsid w:val="009F63BE"/>
    <w:rsid w:val="009F7D5C"/>
    <w:rsid w:val="00A00DB1"/>
    <w:rsid w:val="00A02135"/>
    <w:rsid w:val="00A02621"/>
    <w:rsid w:val="00A04118"/>
    <w:rsid w:val="00A0427E"/>
    <w:rsid w:val="00A05A52"/>
    <w:rsid w:val="00A06B84"/>
    <w:rsid w:val="00A07B93"/>
    <w:rsid w:val="00A07C0C"/>
    <w:rsid w:val="00A10199"/>
    <w:rsid w:val="00A10456"/>
    <w:rsid w:val="00A1142B"/>
    <w:rsid w:val="00A11DBA"/>
    <w:rsid w:val="00A11EAD"/>
    <w:rsid w:val="00A1392D"/>
    <w:rsid w:val="00A141D4"/>
    <w:rsid w:val="00A145E1"/>
    <w:rsid w:val="00A14728"/>
    <w:rsid w:val="00A1491D"/>
    <w:rsid w:val="00A14A5F"/>
    <w:rsid w:val="00A14A74"/>
    <w:rsid w:val="00A14BB6"/>
    <w:rsid w:val="00A14BCD"/>
    <w:rsid w:val="00A14C52"/>
    <w:rsid w:val="00A157FB"/>
    <w:rsid w:val="00A15DFA"/>
    <w:rsid w:val="00A1621C"/>
    <w:rsid w:val="00A16AAB"/>
    <w:rsid w:val="00A16AF9"/>
    <w:rsid w:val="00A2035F"/>
    <w:rsid w:val="00A21540"/>
    <w:rsid w:val="00A21D30"/>
    <w:rsid w:val="00A2203F"/>
    <w:rsid w:val="00A23505"/>
    <w:rsid w:val="00A236DE"/>
    <w:rsid w:val="00A23DDC"/>
    <w:rsid w:val="00A2439F"/>
    <w:rsid w:val="00A25439"/>
    <w:rsid w:val="00A25CB7"/>
    <w:rsid w:val="00A2655C"/>
    <w:rsid w:val="00A26651"/>
    <w:rsid w:val="00A26AB9"/>
    <w:rsid w:val="00A27933"/>
    <w:rsid w:val="00A30DD5"/>
    <w:rsid w:val="00A312EA"/>
    <w:rsid w:val="00A32176"/>
    <w:rsid w:val="00A323B3"/>
    <w:rsid w:val="00A33692"/>
    <w:rsid w:val="00A339DF"/>
    <w:rsid w:val="00A35A18"/>
    <w:rsid w:val="00A36666"/>
    <w:rsid w:val="00A36A14"/>
    <w:rsid w:val="00A3777B"/>
    <w:rsid w:val="00A42FC9"/>
    <w:rsid w:val="00A43BA8"/>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2B8C"/>
    <w:rsid w:val="00A63A9F"/>
    <w:rsid w:val="00A6503E"/>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77AC8"/>
    <w:rsid w:val="00A80836"/>
    <w:rsid w:val="00A810FA"/>
    <w:rsid w:val="00A81205"/>
    <w:rsid w:val="00A81B4E"/>
    <w:rsid w:val="00A824E5"/>
    <w:rsid w:val="00A8260B"/>
    <w:rsid w:val="00A82D8A"/>
    <w:rsid w:val="00A836BC"/>
    <w:rsid w:val="00A83AB2"/>
    <w:rsid w:val="00A83E81"/>
    <w:rsid w:val="00A85BAC"/>
    <w:rsid w:val="00A876D6"/>
    <w:rsid w:val="00A901B8"/>
    <w:rsid w:val="00A90C52"/>
    <w:rsid w:val="00A91BD6"/>
    <w:rsid w:val="00A91D8F"/>
    <w:rsid w:val="00A92965"/>
    <w:rsid w:val="00A929B0"/>
    <w:rsid w:val="00A92AB9"/>
    <w:rsid w:val="00A9301D"/>
    <w:rsid w:val="00A9426A"/>
    <w:rsid w:val="00A9427B"/>
    <w:rsid w:val="00A94D48"/>
    <w:rsid w:val="00A95ADB"/>
    <w:rsid w:val="00A95D38"/>
    <w:rsid w:val="00A9668B"/>
    <w:rsid w:val="00A96BFB"/>
    <w:rsid w:val="00A9784C"/>
    <w:rsid w:val="00A97C80"/>
    <w:rsid w:val="00A97F2D"/>
    <w:rsid w:val="00AA0B04"/>
    <w:rsid w:val="00AA0FC2"/>
    <w:rsid w:val="00AA1381"/>
    <w:rsid w:val="00AA1595"/>
    <w:rsid w:val="00AA2EC2"/>
    <w:rsid w:val="00AA329E"/>
    <w:rsid w:val="00AA4173"/>
    <w:rsid w:val="00AA45BF"/>
    <w:rsid w:val="00AA4B1A"/>
    <w:rsid w:val="00AA5D9B"/>
    <w:rsid w:val="00AA5EF0"/>
    <w:rsid w:val="00AA617B"/>
    <w:rsid w:val="00AB037A"/>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3EB"/>
    <w:rsid w:val="00AC122A"/>
    <w:rsid w:val="00AC142E"/>
    <w:rsid w:val="00AC195F"/>
    <w:rsid w:val="00AC2329"/>
    <w:rsid w:val="00AC3928"/>
    <w:rsid w:val="00AC3BD2"/>
    <w:rsid w:val="00AC406A"/>
    <w:rsid w:val="00AC40D6"/>
    <w:rsid w:val="00AC413C"/>
    <w:rsid w:val="00AC44C3"/>
    <w:rsid w:val="00AC4DAD"/>
    <w:rsid w:val="00AC4E1D"/>
    <w:rsid w:val="00AC511F"/>
    <w:rsid w:val="00AC547C"/>
    <w:rsid w:val="00AC5679"/>
    <w:rsid w:val="00AC5FBF"/>
    <w:rsid w:val="00AC6458"/>
    <w:rsid w:val="00AC6725"/>
    <w:rsid w:val="00AC7D8F"/>
    <w:rsid w:val="00AC7E2E"/>
    <w:rsid w:val="00AD04AA"/>
    <w:rsid w:val="00AD1265"/>
    <w:rsid w:val="00AD1D47"/>
    <w:rsid w:val="00AD25B9"/>
    <w:rsid w:val="00AD2BBC"/>
    <w:rsid w:val="00AD3476"/>
    <w:rsid w:val="00AD54E8"/>
    <w:rsid w:val="00AD5C5B"/>
    <w:rsid w:val="00AD5D77"/>
    <w:rsid w:val="00AD7BDC"/>
    <w:rsid w:val="00AD7EF4"/>
    <w:rsid w:val="00AE1BD6"/>
    <w:rsid w:val="00AE1D46"/>
    <w:rsid w:val="00AE282F"/>
    <w:rsid w:val="00AE294D"/>
    <w:rsid w:val="00AE370C"/>
    <w:rsid w:val="00AE4ECF"/>
    <w:rsid w:val="00AE6003"/>
    <w:rsid w:val="00AE624F"/>
    <w:rsid w:val="00AE66B0"/>
    <w:rsid w:val="00AE6B99"/>
    <w:rsid w:val="00AE6BEC"/>
    <w:rsid w:val="00AE7040"/>
    <w:rsid w:val="00AE7847"/>
    <w:rsid w:val="00AF0AA5"/>
    <w:rsid w:val="00AF0EBE"/>
    <w:rsid w:val="00AF0EFB"/>
    <w:rsid w:val="00AF1207"/>
    <w:rsid w:val="00AF13E6"/>
    <w:rsid w:val="00AF2458"/>
    <w:rsid w:val="00AF2C5F"/>
    <w:rsid w:val="00AF43F3"/>
    <w:rsid w:val="00AF5A98"/>
    <w:rsid w:val="00AF65D0"/>
    <w:rsid w:val="00AF6C2F"/>
    <w:rsid w:val="00AF7012"/>
    <w:rsid w:val="00AF75BE"/>
    <w:rsid w:val="00AF79C9"/>
    <w:rsid w:val="00AF7E41"/>
    <w:rsid w:val="00AF7F79"/>
    <w:rsid w:val="00B0168B"/>
    <w:rsid w:val="00B02A47"/>
    <w:rsid w:val="00B036E1"/>
    <w:rsid w:val="00B038D8"/>
    <w:rsid w:val="00B052E0"/>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145"/>
    <w:rsid w:val="00B1780E"/>
    <w:rsid w:val="00B1781D"/>
    <w:rsid w:val="00B2243A"/>
    <w:rsid w:val="00B228FE"/>
    <w:rsid w:val="00B22E79"/>
    <w:rsid w:val="00B230E1"/>
    <w:rsid w:val="00B2339A"/>
    <w:rsid w:val="00B23940"/>
    <w:rsid w:val="00B23A24"/>
    <w:rsid w:val="00B240C6"/>
    <w:rsid w:val="00B25609"/>
    <w:rsid w:val="00B25A51"/>
    <w:rsid w:val="00B2610C"/>
    <w:rsid w:val="00B26575"/>
    <w:rsid w:val="00B26E42"/>
    <w:rsid w:val="00B274DC"/>
    <w:rsid w:val="00B27829"/>
    <w:rsid w:val="00B32E4B"/>
    <w:rsid w:val="00B33DDE"/>
    <w:rsid w:val="00B33FB0"/>
    <w:rsid w:val="00B34C23"/>
    <w:rsid w:val="00B34E48"/>
    <w:rsid w:val="00B369FD"/>
    <w:rsid w:val="00B36D23"/>
    <w:rsid w:val="00B377DE"/>
    <w:rsid w:val="00B37991"/>
    <w:rsid w:val="00B40580"/>
    <w:rsid w:val="00B40F7E"/>
    <w:rsid w:val="00B4180E"/>
    <w:rsid w:val="00B4291A"/>
    <w:rsid w:val="00B44562"/>
    <w:rsid w:val="00B45327"/>
    <w:rsid w:val="00B45A2B"/>
    <w:rsid w:val="00B46269"/>
    <w:rsid w:val="00B46543"/>
    <w:rsid w:val="00B50639"/>
    <w:rsid w:val="00B50E78"/>
    <w:rsid w:val="00B51B73"/>
    <w:rsid w:val="00B5288F"/>
    <w:rsid w:val="00B5299E"/>
    <w:rsid w:val="00B53074"/>
    <w:rsid w:val="00B568E1"/>
    <w:rsid w:val="00B571AD"/>
    <w:rsid w:val="00B60EF2"/>
    <w:rsid w:val="00B6105C"/>
    <w:rsid w:val="00B61313"/>
    <w:rsid w:val="00B61FFB"/>
    <w:rsid w:val="00B67D0C"/>
    <w:rsid w:val="00B7059C"/>
    <w:rsid w:val="00B70BAD"/>
    <w:rsid w:val="00B70EF3"/>
    <w:rsid w:val="00B72011"/>
    <w:rsid w:val="00B72294"/>
    <w:rsid w:val="00B72356"/>
    <w:rsid w:val="00B7236D"/>
    <w:rsid w:val="00B72C26"/>
    <w:rsid w:val="00B73808"/>
    <w:rsid w:val="00B73F58"/>
    <w:rsid w:val="00B7485E"/>
    <w:rsid w:val="00B74D31"/>
    <w:rsid w:val="00B751A1"/>
    <w:rsid w:val="00B778BE"/>
    <w:rsid w:val="00B81584"/>
    <w:rsid w:val="00B815D5"/>
    <w:rsid w:val="00B82CE4"/>
    <w:rsid w:val="00B840A7"/>
    <w:rsid w:val="00B84CE8"/>
    <w:rsid w:val="00B86E97"/>
    <w:rsid w:val="00B86F89"/>
    <w:rsid w:val="00B87F33"/>
    <w:rsid w:val="00B90070"/>
    <w:rsid w:val="00B91320"/>
    <w:rsid w:val="00B9274D"/>
    <w:rsid w:val="00B92F62"/>
    <w:rsid w:val="00B95152"/>
    <w:rsid w:val="00B952FB"/>
    <w:rsid w:val="00B96115"/>
    <w:rsid w:val="00B971FD"/>
    <w:rsid w:val="00B97DE8"/>
    <w:rsid w:val="00BA1654"/>
    <w:rsid w:val="00BA1DE6"/>
    <w:rsid w:val="00BA1EBC"/>
    <w:rsid w:val="00BA328A"/>
    <w:rsid w:val="00BA3328"/>
    <w:rsid w:val="00BA374C"/>
    <w:rsid w:val="00BA47A1"/>
    <w:rsid w:val="00BA5659"/>
    <w:rsid w:val="00BA5BAD"/>
    <w:rsid w:val="00BA6299"/>
    <w:rsid w:val="00BA649A"/>
    <w:rsid w:val="00BA6D34"/>
    <w:rsid w:val="00BA7992"/>
    <w:rsid w:val="00BB0418"/>
    <w:rsid w:val="00BB08D9"/>
    <w:rsid w:val="00BB1A99"/>
    <w:rsid w:val="00BB2057"/>
    <w:rsid w:val="00BB2F7F"/>
    <w:rsid w:val="00BB3E9A"/>
    <w:rsid w:val="00BB4D76"/>
    <w:rsid w:val="00BB674F"/>
    <w:rsid w:val="00BB6764"/>
    <w:rsid w:val="00BB69AD"/>
    <w:rsid w:val="00BB6E1C"/>
    <w:rsid w:val="00BB7240"/>
    <w:rsid w:val="00BB739E"/>
    <w:rsid w:val="00BB7F19"/>
    <w:rsid w:val="00BC019B"/>
    <w:rsid w:val="00BC100F"/>
    <w:rsid w:val="00BC2D79"/>
    <w:rsid w:val="00BC3629"/>
    <w:rsid w:val="00BC5ABD"/>
    <w:rsid w:val="00BC6BDA"/>
    <w:rsid w:val="00BC6DAD"/>
    <w:rsid w:val="00BD014D"/>
    <w:rsid w:val="00BD16E8"/>
    <w:rsid w:val="00BD2C6A"/>
    <w:rsid w:val="00BD6158"/>
    <w:rsid w:val="00BD66A2"/>
    <w:rsid w:val="00BD6E0C"/>
    <w:rsid w:val="00BD7AC5"/>
    <w:rsid w:val="00BD7F4D"/>
    <w:rsid w:val="00BE037A"/>
    <w:rsid w:val="00BE19B8"/>
    <w:rsid w:val="00BE2B7F"/>
    <w:rsid w:val="00BE2C75"/>
    <w:rsid w:val="00BE369D"/>
    <w:rsid w:val="00BE3B36"/>
    <w:rsid w:val="00BE417C"/>
    <w:rsid w:val="00BE4D03"/>
    <w:rsid w:val="00BE5725"/>
    <w:rsid w:val="00BE7017"/>
    <w:rsid w:val="00BE7906"/>
    <w:rsid w:val="00BE798B"/>
    <w:rsid w:val="00BF0969"/>
    <w:rsid w:val="00BF108E"/>
    <w:rsid w:val="00BF15F0"/>
    <w:rsid w:val="00BF1BD6"/>
    <w:rsid w:val="00BF2EDB"/>
    <w:rsid w:val="00BF3658"/>
    <w:rsid w:val="00BF49B0"/>
    <w:rsid w:val="00BF5463"/>
    <w:rsid w:val="00BF6C41"/>
    <w:rsid w:val="00C00996"/>
    <w:rsid w:val="00C00A93"/>
    <w:rsid w:val="00C00BB2"/>
    <w:rsid w:val="00C00F72"/>
    <w:rsid w:val="00C01D3E"/>
    <w:rsid w:val="00C01DDE"/>
    <w:rsid w:val="00C038FE"/>
    <w:rsid w:val="00C03FFD"/>
    <w:rsid w:val="00C04D10"/>
    <w:rsid w:val="00C04EAA"/>
    <w:rsid w:val="00C04F4F"/>
    <w:rsid w:val="00C0506A"/>
    <w:rsid w:val="00C0606C"/>
    <w:rsid w:val="00C066B2"/>
    <w:rsid w:val="00C07C4D"/>
    <w:rsid w:val="00C11BE8"/>
    <w:rsid w:val="00C141C9"/>
    <w:rsid w:val="00C15BA8"/>
    <w:rsid w:val="00C17123"/>
    <w:rsid w:val="00C1777B"/>
    <w:rsid w:val="00C17781"/>
    <w:rsid w:val="00C20A27"/>
    <w:rsid w:val="00C21349"/>
    <w:rsid w:val="00C21B4E"/>
    <w:rsid w:val="00C21CD1"/>
    <w:rsid w:val="00C21E75"/>
    <w:rsid w:val="00C22D7A"/>
    <w:rsid w:val="00C22E8B"/>
    <w:rsid w:val="00C24009"/>
    <w:rsid w:val="00C240AC"/>
    <w:rsid w:val="00C25120"/>
    <w:rsid w:val="00C25FD4"/>
    <w:rsid w:val="00C26A0B"/>
    <w:rsid w:val="00C26B45"/>
    <w:rsid w:val="00C26C41"/>
    <w:rsid w:val="00C26CA2"/>
    <w:rsid w:val="00C30062"/>
    <w:rsid w:val="00C3162E"/>
    <w:rsid w:val="00C3225D"/>
    <w:rsid w:val="00C3247C"/>
    <w:rsid w:val="00C32603"/>
    <w:rsid w:val="00C330BA"/>
    <w:rsid w:val="00C3343D"/>
    <w:rsid w:val="00C34CDE"/>
    <w:rsid w:val="00C35711"/>
    <w:rsid w:val="00C36C10"/>
    <w:rsid w:val="00C41977"/>
    <w:rsid w:val="00C41D81"/>
    <w:rsid w:val="00C43F18"/>
    <w:rsid w:val="00C445A9"/>
    <w:rsid w:val="00C455E5"/>
    <w:rsid w:val="00C4672B"/>
    <w:rsid w:val="00C468E9"/>
    <w:rsid w:val="00C4747B"/>
    <w:rsid w:val="00C50917"/>
    <w:rsid w:val="00C50971"/>
    <w:rsid w:val="00C52BC8"/>
    <w:rsid w:val="00C52E2C"/>
    <w:rsid w:val="00C536B8"/>
    <w:rsid w:val="00C54612"/>
    <w:rsid w:val="00C55F54"/>
    <w:rsid w:val="00C560D6"/>
    <w:rsid w:val="00C561BE"/>
    <w:rsid w:val="00C563D3"/>
    <w:rsid w:val="00C565EB"/>
    <w:rsid w:val="00C57B19"/>
    <w:rsid w:val="00C6150A"/>
    <w:rsid w:val="00C620D3"/>
    <w:rsid w:val="00C626D1"/>
    <w:rsid w:val="00C63087"/>
    <w:rsid w:val="00C63338"/>
    <w:rsid w:val="00C6410B"/>
    <w:rsid w:val="00C64265"/>
    <w:rsid w:val="00C6448D"/>
    <w:rsid w:val="00C65278"/>
    <w:rsid w:val="00C66CBE"/>
    <w:rsid w:val="00C6719A"/>
    <w:rsid w:val="00C67342"/>
    <w:rsid w:val="00C67743"/>
    <w:rsid w:val="00C6774A"/>
    <w:rsid w:val="00C67D83"/>
    <w:rsid w:val="00C7227F"/>
    <w:rsid w:val="00C7239A"/>
    <w:rsid w:val="00C7284E"/>
    <w:rsid w:val="00C7417D"/>
    <w:rsid w:val="00C76859"/>
    <w:rsid w:val="00C76C16"/>
    <w:rsid w:val="00C77317"/>
    <w:rsid w:val="00C80BEA"/>
    <w:rsid w:val="00C80F89"/>
    <w:rsid w:val="00C813DE"/>
    <w:rsid w:val="00C8241F"/>
    <w:rsid w:val="00C83623"/>
    <w:rsid w:val="00C842A2"/>
    <w:rsid w:val="00C84BA9"/>
    <w:rsid w:val="00C86BA3"/>
    <w:rsid w:val="00C90674"/>
    <w:rsid w:val="00C93A92"/>
    <w:rsid w:val="00C93C59"/>
    <w:rsid w:val="00C95714"/>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09D7"/>
    <w:rsid w:val="00CC1078"/>
    <w:rsid w:val="00CC11B1"/>
    <w:rsid w:val="00CC300F"/>
    <w:rsid w:val="00CC485D"/>
    <w:rsid w:val="00CC494D"/>
    <w:rsid w:val="00CC5012"/>
    <w:rsid w:val="00CC54C1"/>
    <w:rsid w:val="00CC5653"/>
    <w:rsid w:val="00CC5A0C"/>
    <w:rsid w:val="00CC5E7D"/>
    <w:rsid w:val="00CC6800"/>
    <w:rsid w:val="00CD06F5"/>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4B3"/>
    <w:rsid w:val="00CE4CD5"/>
    <w:rsid w:val="00CE6AC0"/>
    <w:rsid w:val="00CF0656"/>
    <w:rsid w:val="00CF10D8"/>
    <w:rsid w:val="00CF1CEF"/>
    <w:rsid w:val="00CF21CA"/>
    <w:rsid w:val="00CF2411"/>
    <w:rsid w:val="00CF2569"/>
    <w:rsid w:val="00CF3161"/>
    <w:rsid w:val="00CF350E"/>
    <w:rsid w:val="00CF3F70"/>
    <w:rsid w:val="00CF69AC"/>
    <w:rsid w:val="00CF6E4F"/>
    <w:rsid w:val="00CF723C"/>
    <w:rsid w:val="00CF7693"/>
    <w:rsid w:val="00D00DDC"/>
    <w:rsid w:val="00D017BE"/>
    <w:rsid w:val="00D01B03"/>
    <w:rsid w:val="00D035A9"/>
    <w:rsid w:val="00D047F3"/>
    <w:rsid w:val="00D04B61"/>
    <w:rsid w:val="00D05CAD"/>
    <w:rsid w:val="00D063A9"/>
    <w:rsid w:val="00D06F29"/>
    <w:rsid w:val="00D07EB5"/>
    <w:rsid w:val="00D1144F"/>
    <w:rsid w:val="00D11C81"/>
    <w:rsid w:val="00D1208F"/>
    <w:rsid w:val="00D12687"/>
    <w:rsid w:val="00D133EA"/>
    <w:rsid w:val="00D13706"/>
    <w:rsid w:val="00D15967"/>
    <w:rsid w:val="00D15E6E"/>
    <w:rsid w:val="00D16437"/>
    <w:rsid w:val="00D17432"/>
    <w:rsid w:val="00D208C8"/>
    <w:rsid w:val="00D20B0D"/>
    <w:rsid w:val="00D20F14"/>
    <w:rsid w:val="00D24153"/>
    <w:rsid w:val="00D24548"/>
    <w:rsid w:val="00D26E98"/>
    <w:rsid w:val="00D27718"/>
    <w:rsid w:val="00D301DB"/>
    <w:rsid w:val="00D30C4A"/>
    <w:rsid w:val="00D31775"/>
    <w:rsid w:val="00D31A29"/>
    <w:rsid w:val="00D31AC2"/>
    <w:rsid w:val="00D32F5C"/>
    <w:rsid w:val="00D33C1E"/>
    <w:rsid w:val="00D3484A"/>
    <w:rsid w:val="00D34881"/>
    <w:rsid w:val="00D35DA5"/>
    <w:rsid w:val="00D36981"/>
    <w:rsid w:val="00D41B5E"/>
    <w:rsid w:val="00D41E2F"/>
    <w:rsid w:val="00D41E3F"/>
    <w:rsid w:val="00D429C6"/>
    <w:rsid w:val="00D4301D"/>
    <w:rsid w:val="00D43AD5"/>
    <w:rsid w:val="00D43DEE"/>
    <w:rsid w:val="00D4450E"/>
    <w:rsid w:val="00D44E62"/>
    <w:rsid w:val="00D457F1"/>
    <w:rsid w:val="00D45CE3"/>
    <w:rsid w:val="00D47FA2"/>
    <w:rsid w:val="00D504AF"/>
    <w:rsid w:val="00D508AD"/>
    <w:rsid w:val="00D52D5F"/>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1D3"/>
    <w:rsid w:val="00D65FAC"/>
    <w:rsid w:val="00D66535"/>
    <w:rsid w:val="00D66BAD"/>
    <w:rsid w:val="00D66C2A"/>
    <w:rsid w:val="00D66E0A"/>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48A0"/>
    <w:rsid w:val="00D94B22"/>
    <w:rsid w:val="00D951D2"/>
    <w:rsid w:val="00D974F8"/>
    <w:rsid w:val="00D9781D"/>
    <w:rsid w:val="00D978A4"/>
    <w:rsid w:val="00D97BFF"/>
    <w:rsid w:val="00D97EA7"/>
    <w:rsid w:val="00DA0037"/>
    <w:rsid w:val="00DA00ED"/>
    <w:rsid w:val="00DA0497"/>
    <w:rsid w:val="00DA0A2F"/>
    <w:rsid w:val="00DA11D1"/>
    <w:rsid w:val="00DA1E64"/>
    <w:rsid w:val="00DA23DC"/>
    <w:rsid w:val="00DA29E6"/>
    <w:rsid w:val="00DA33BB"/>
    <w:rsid w:val="00DA3650"/>
    <w:rsid w:val="00DA427C"/>
    <w:rsid w:val="00DA4579"/>
    <w:rsid w:val="00DA51AD"/>
    <w:rsid w:val="00DA621E"/>
    <w:rsid w:val="00DA7373"/>
    <w:rsid w:val="00DB25C8"/>
    <w:rsid w:val="00DB2EAE"/>
    <w:rsid w:val="00DB39BE"/>
    <w:rsid w:val="00DB3CE6"/>
    <w:rsid w:val="00DB483F"/>
    <w:rsid w:val="00DB5075"/>
    <w:rsid w:val="00DB6895"/>
    <w:rsid w:val="00DB6A00"/>
    <w:rsid w:val="00DB733D"/>
    <w:rsid w:val="00DC0027"/>
    <w:rsid w:val="00DC046E"/>
    <w:rsid w:val="00DC0616"/>
    <w:rsid w:val="00DC0B7E"/>
    <w:rsid w:val="00DC1A0D"/>
    <w:rsid w:val="00DC2136"/>
    <w:rsid w:val="00DC255F"/>
    <w:rsid w:val="00DC2904"/>
    <w:rsid w:val="00DC31E3"/>
    <w:rsid w:val="00DC4563"/>
    <w:rsid w:val="00DC56D0"/>
    <w:rsid w:val="00DC6EDC"/>
    <w:rsid w:val="00DC7FA7"/>
    <w:rsid w:val="00DD0768"/>
    <w:rsid w:val="00DD0A5B"/>
    <w:rsid w:val="00DD1BAB"/>
    <w:rsid w:val="00DD1DDF"/>
    <w:rsid w:val="00DD2076"/>
    <w:rsid w:val="00DD209E"/>
    <w:rsid w:val="00DD249B"/>
    <w:rsid w:val="00DD2680"/>
    <w:rsid w:val="00DD2E59"/>
    <w:rsid w:val="00DD34D7"/>
    <w:rsid w:val="00DD442C"/>
    <w:rsid w:val="00DD487F"/>
    <w:rsid w:val="00DD521D"/>
    <w:rsid w:val="00DD746E"/>
    <w:rsid w:val="00DD7742"/>
    <w:rsid w:val="00DD7CEA"/>
    <w:rsid w:val="00DD7EF3"/>
    <w:rsid w:val="00DE1D2C"/>
    <w:rsid w:val="00DE2B6B"/>
    <w:rsid w:val="00DE2DFD"/>
    <w:rsid w:val="00DE3475"/>
    <w:rsid w:val="00DE4BCD"/>
    <w:rsid w:val="00DE6595"/>
    <w:rsid w:val="00DF0108"/>
    <w:rsid w:val="00DF03BB"/>
    <w:rsid w:val="00DF03D5"/>
    <w:rsid w:val="00DF0CFA"/>
    <w:rsid w:val="00DF0FD7"/>
    <w:rsid w:val="00DF0FEA"/>
    <w:rsid w:val="00DF12E3"/>
    <w:rsid w:val="00DF1964"/>
    <w:rsid w:val="00DF1E3E"/>
    <w:rsid w:val="00DF1FBB"/>
    <w:rsid w:val="00DF430D"/>
    <w:rsid w:val="00DF5B87"/>
    <w:rsid w:val="00DF799F"/>
    <w:rsid w:val="00DF7A05"/>
    <w:rsid w:val="00E006B6"/>
    <w:rsid w:val="00E0080F"/>
    <w:rsid w:val="00E01469"/>
    <w:rsid w:val="00E01BC6"/>
    <w:rsid w:val="00E02269"/>
    <w:rsid w:val="00E03EB4"/>
    <w:rsid w:val="00E03F23"/>
    <w:rsid w:val="00E04D76"/>
    <w:rsid w:val="00E06A26"/>
    <w:rsid w:val="00E07AAE"/>
    <w:rsid w:val="00E07E09"/>
    <w:rsid w:val="00E112B7"/>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80C"/>
    <w:rsid w:val="00E35D69"/>
    <w:rsid w:val="00E3615D"/>
    <w:rsid w:val="00E36583"/>
    <w:rsid w:val="00E37F77"/>
    <w:rsid w:val="00E404DA"/>
    <w:rsid w:val="00E40516"/>
    <w:rsid w:val="00E405F5"/>
    <w:rsid w:val="00E4083F"/>
    <w:rsid w:val="00E40CC0"/>
    <w:rsid w:val="00E41521"/>
    <w:rsid w:val="00E4240A"/>
    <w:rsid w:val="00E42B00"/>
    <w:rsid w:val="00E436C4"/>
    <w:rsid w:val="00E44698"/>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358A"/>
    <w:rsid w:val="00E63CB4"/>
    <w:rsid w:val="00E6495B"/>
    <w:rsid w:val="00E64F93"/>
    <w:rsid w:val="00E66047"/>
    <w:rsid w:val="00E6608F"/>
    <w:rsid w:val="00E666FB"/>
    <w:rsid w:val="00E6695E"/>
    <w:rsid w:val="00E66A42"/>
    <w:rsid w:val="00E66C0C"/>
    <w:rsid w:val="00E71B13"/>
    <w:rsid w:val="00E71DC2"/>
    <w:rsid w:val="00E7240F"/>
    <w:rsid w:val="00E72564"/>
    <w:rsid w:val="00E72646"/>
    <w:rsid w:val="00E73425"/>
    <w:rsid w:val="00E7376C"/>
    <w:rsid w:val="00E74C43"/>
    <w:rsid w:val="00E769E3"/>
    <w:rsid w:val="00E77E0E"/>
    <w:rsid w:val="00E814EB"/>
    <w:rsid w:val="00E821D7"/>
    <w:rsid w:val="00E82802"/>
    <w:rsid w:val="00E83347"/>
    <w:rsid w:val="00E8408A"/>
    <w:rsid w:val="00E851CF"/>
    <w:rsid w:val="00E86723"/>
    <w:rsid w:val="00E874B2"/>
    <w:rsid w:val="00E87A9C"/>
    <w:rsid w:val="00E87B7D"/>
    <w:rsid w:val="00E920C5"/>
    <w:rsid w:val="00E93C2B"/>
    <w:rsid w:val="00E94F9F"/>
    <w:rsid w:val="00E97011"/>
    <w:rsid w:val="00E97303"/>
    <w:rsid w:val="00E97C10"/>
    <w:rsid w:val="00E97D98"/>
    <w:rsid w:val="00EA0048"/>
    <w:rsid w:val="00EA0096"/>
    <w:rsid w:val="00EA0692"/>
    <w:rsid w:val="00EA1466"/>
    <w:rsid w:val="00EA1B25"/>
    <w:rsid w:val="00EA20BE"/>
    <w:rsid w:val="00EA34B8"/>
    <w:rsid w:val="00EA3E7A"/>
    <w:rsid w:val="00EA3FD8"/>
    <w:rsid w:val="00EA432B"/>
    <w:rsid w:val="00EA4330"/>
    <w:rsid w:val="00EA4CED"/>
    <w:rsid w:val="00EA5AD4"/>
    <w:rsid w:val="00EA5EB5"/>
    <w:rsid w:val="00EA5EFF"/>
    <w:rsid w:val="00EA63F4"/>
    <w:rsid w:val="00EA6E92"/>
    <w:rsid w:val="00EA74CD"/>
    <w:rsid w:val="00EA7908"/>
    <w:rsid w:val="00EB196C"/>
    <w:rsid w:val="00EB2541"/>
    <w:rsid w:val="00EB2A4D"/>
    <w:rsid w:val="00EB409C"/>
    <w:rsid w:val="00EB574C"/>
    <w:rsid w:val="00EB5D91"/>
    <w:rsid w:val="00EB5EF0"/>
    <w:rsid w:val="00EB7767"/>
    <w:rsid w:val="00EB7BE3"/>
    <w:rsid w:val="00EC0D0A"/>
    <w:rsid w:val="00EC2129"/>
    <w:rsid w:val="00EC24FD"/>
    <w:rsid w:val="00EC2961"/>
    <w:rsid w:val="00EC2B12"/>
    <w:rsid w:val="00EC5351"/>
    <w:rsid w:val="00EC57DE"/>
    <w:rsid w:val="00EC66F2"/>
    <w:rsid w:val="00ED086F"/>
    <w:rsid w:val="00ED0DBE"/>
    <w:rsid w:val="00ED12BE"/>
    <w:rsid w:val="00ED12C0"/>
    <w:rsid w:val="00ED1795"/>
    <w:rsid w:val="00ED1A80"/>
    <w:rsid w:val="00ED1B26"/>
    <w:rsid w:val="00ED3597"/>
    <w:rsid w:val="00ED3F6D"/>
    <w:rsid w:val="00ED4EF3"/>
    <w:rsid w:val="00ED5598"/>
    <w:rsid w:val="00ED5AF8"/>
    <w:rsid w:val="00ED5EA1"/>
    <w:rsid w:val="00ED6B1B"/>
    <w:rsid w:val="00ED6D73"/>
    <w:rsid w:val="00EE001B"/>
    <w:rsid w:val="00EE02CF"/>
    <w:rsid w:val="00EE0AAC"/>
    <w:rsid w:val="00EE11DA"/>
    <w:rsid w:val="00EE14D6"/>
    <w:rsid w:val="00EE2345"/>
    <w:rsid w:val="00EE2B66"/>
    <w:rsid w:val="00EE2C08"/>
    <w:rsid w:val="00EE2E80"/>
    <w:rsid w:val="00EE4342"/>
    <w:rsid w:val="00EE470A"/>
    <w:rsid w:val="00EE47E7"/>
    <w:rsid w:val="00EE564A"/>
    <w:rsid w:val="00EE58BF"/>
    <w:rsid w:val="00EE6DBC"/>
    <w:rsid w:val="00EE7A80"/>
    <w:rsid w:val="00EF132F"/>
    <w:rsid w:val="00EF1652"/>
    <w:rsid w:val="00EF1C3F"/>
    <w:rsid w:val="00EF204D"/>
    <w:rsid w:val="00EF22A6"/>
    <w:rsid w:val="00EF253C"/>
    <w:rsid w:val="00EF2C0A"/>
    <w:rsid w:val="00EF5884"/>
    <w:rsid w:val="00EF5A30"/>
    <w:rsid w:val="00EF6155"/>
    <w:rsid w:val="00EF636C"/>
    <w:rsid w:val="00EF7267"/>
    <w:rsid w:val="00F00E12"/>
    <w:rsid w:val="00F00E4D"/>
    <w:rsid w:val="00F012B1"/>
    <w:rsid w:val="00F01C52"/>
    <w:rsid w:val="00F01E55"/>
    <w:rsid w:val="00F0291D"/>
    <w:rsid w:val="00F029D8"/>
    <w:rsid w:val="00F044F7"/>
    <w:rsid w:val="00F0706C"/>
    <w:rsid w:val="00F07277"/>
    <w:rsid w:val="00F10463"/>
    <w:rsid w:val="00F110BC"/>
    <w:rsid w:val="00F1181C"/>
    <w:rsid w:val="00F11C98"/>
    <w:rsid w:val="00F13E33"/>
    <w:rsid w:val="00F14514"/>
    <w:rsid w:val="00F154E5"/>
    <w:rsid w:val="00F15C6C"/>
    <w:rsid w:val="00F16673"/>
    <w:rsid w:val="00F16E54"/>
    <w:rsid w:val="00F17718"/>
    <w:rsid w:val="00F1780A"/>
    <w:rsid w:val="00F17D5E"/>
    <w:rsid w:val="00F17FDA"/>
    <w:rsid w:val="00F209B8"/>
    <w:rsid w:val="00F20C60"/>
    <w:rsid w:val="00F21131"/>
    <w:rsid w:val="00F2136C"/>
    <w:rsid w:val="00F22455"/>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32"/>
    <w:rsid w:val="00F27D23"/>
    <w:rsid w:val="00F30615"/>
    <w:rsid w:val="00F314A9"/>
    <w:rsid w:val="00F31782"/>
    <w:rsid w:val="00F31F2E"/>
    <w:rsid w:val="00F327CC"/>
    <w:rsid w:val="00F32F05"/>
    <w:rsid w:val="00F33539"/>
    <w:rsid w:val="00F345F1"/>
    <w:rsid w:val="00F3462E"/>
    <w:rsid w:val="00F34A8B"/>
    <w:rsid w:val="00F3535F"/>
    <w:rsid w:val="00F35F9A"/>
    <w:rsid w:val="00F36453"/>
    <w:rsid w:val="00F3693D"/>
    <w:rsid w:val="00F3693E"/>
    <w:rsid w:val="00F403A2"/>
    <w:rsid w:val="00F40CF0"/>
    <w:rsid w:val="00F416AD"/>
    <w:rsid w:val="00F41FA4"/>
    <w:rsid w:val="00F42046"/>
    <w:rsid w:val="00F441E7"/>
    <w:rsid w:val="00F456DC"/>
    <w:rsid w:val="00F46641"/>
    <w:rsid w:val="00F503BA"/>
    <w:rsid w:val="00F50E37"/>
    <w:rsid w:val="00F5182F"/>
    <w:rsid w:val="00F531FC"/>
    <w:rsid w:val="00F5350D"/>
    <w:rsid w:val="00F53E8B"/>
    <w:rsid w:val="00F54A4A"/>
    <w:rsid w:val="00F55A54"/>
    <w:rsid w:val="00F564C6"/>
    <w:rsid w:val="00F56EAB"/>
    <w:rsid w:val="00F5753F"/>
    <w:rsid w:val="00F57559"/>
    <w:rsid w:val="00F57D43"/>
    <w:rsid w:val="00F57FC1"/>
    <w:rsid w:val="00F60D93"/>
    <w:rsid w:val="00F628BF"/>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67E0"/>
    <w:rsid w:val="00F77687"/>
    <w:rsid w:val="00F77BA2"/>
    <w:rsid w:val="00F77FF1"/>
    <w:rsid w:val="00F8053B"/>
    <w:rsid w:val="00F81F7D"/>
    <w:rsid w:val="00F81F7F"/>
    <w:rsid w:val="00F83154"/>
    <w:rsid w:val="00F84107"/>
    <w:rsid w:val="00F85B77"/>
    <w:rsid w:val="00F8683C"/>
    <w:rsid w:val="00F87A0D"/>
    <w:rsid w:val="00F91110"/>
    <w:rsid w:val="00F91F7F"/>
    <w:rsid w:val="00F923E9"/>
    <w:rsid w:val="00F9259A"/>
    <w:rsid w:val="00F92688"/>
    <w:rsid w:val="00F92C6E"/>
    <w:rsid w:val="00F92DC1"/>
    <w:rsid w:val="00F93287"/>
    <w:rsid w:val="00F943FD"/>
    <w:rsid w:val="00F94AD3"/>
    <w:rsid w:val="00F9586A"/>
    <w:rsid w:val="00F95C6D"/>
    <w:rsid w:val="00F971A0"/>
    <w:rsid w:val="00F9738A"/>
    <w:rsid w:val="00FA0852"/>
    <w:rsid w:val="00FA1842"/>
    <w:rsid w:val="00FA1B34"/>
    <w:rsid w:val="00FA43C2"/>
    <w:rsid w:val="00FA4890"/>
    <w:rsid w:val="00FA4F5E"/>
    <w:rsid w:val="00FA57ED"/>
    <w:rsid w:val="00FA66D0"/>
    <w:rsid w:val="00FA6A77"/>
    <w:rsid w:val="00FA7309"/>
    <w:rsid w:val="00FB03BD"/>
    <w:rsid w:val="00FB3E34"/>
    <w:rsid w:val="00FB3FE6"/>
    <w:rsid w:val="00FB41D0"/>
    <w:rsid w:val="00FB4C94"/>
    <w:rsid w:val="00FB574F"/>
    <w:rsid w:val="00FB5CF8"/>
    <w:rsid w:val="00FB6B6B"/>
    <w:rsid w:val="00FC00F2"/>
    <w:rsid w:val="00FC0536"/>
    <w:rsid w:val="00FC0949"/>
    <w:rsid w:val="00FC0E64"/>
    <w:rsid w:val="00FC11CB"/>
    <w:rsid w:val="00FC3488"/>
    <w:rsid w:val="00FC4494"/>
    <w:rsid w:val="00FC5CC7"/>
    <w:rsid w:val="00FC77A2"/>
    <w:rsid w:val="00FD0974"/>
    <w:rsid w:val="00FD0A83"/>
    <w:rsid w:val="00FD12E6"/>
    <w:rsid w:val="00FD188A"/>
    <w:rsid w:val="00FD1905"/>
    <w:rsid w:val="00FD1C7E"/>
    <w:rsid w:val="00FD338D"/>
    <w:rsid w:val="00FD3F9D"/>
    <w:rsid w:val="00FD4C0E"/>
    <w:rsid w:val="00FD4E6D"/>
    <w:rsid w:val="00FD58B0"/>
    <w:rsid w:val="00FD5F8B"/>
    <w:rsid w:val="00FD71D1"/>
    <w:rsid w:val="00FE03A0"/>
    <w:rsid w:val="00FE12B4"/>
    <w:rsid w:val="00FE15A0"/>
    <w:rsid w:val="00FE1AD5"/>
    <w:rsid w:val="00FE1E56"/>
    <w:rsid w:val="00FE211E"/>
    <w:rsid w:val="00FE2603"/>
    <w:rsid w:val="00FE3B6E"/>
    <w:rsid w:val="00FE4359"/>
    <w:rsid w:val="00FE5345"/>
    <w:rsid w:val="00FE5DEF"/>
    <w:rsid w:val="00FE61A1"/>
    <w:rsid w:val="00FE6685"/>
    <w:rsid w:val="00FE6E07"/>
    <w:rsid w:val="00FE7213"/>
    <w:rsid w:val="00FF0154"/>
    <w:rsid w:val="00FF0603"/>
    <w:rsid w:val="00FF113B"/>
    <w:rsid w:val="00FF20A4"/>
    <w:rsid w:val="00FF2234"/>
    <w:rsid w:val="00FF23A5"/>
    <w:rsid w:val="00FF3136"/>
    <w:rsid w:val="00FF425C"/>
    <w:rsid w:val="00FF5665"/>
    <w:rsid w:val="00FF6157"/>
    <w:rsid w:val="00FF68DD"/>
    <w:rsid w:val="00FF7858"/>
    <w:rsid w:val="013A1130"/>
    <w:rsid w:val="02236824"/>
    <w:rsid w:val="024E46ED"/>
    <w:rsid w:val="0431382D"/>
    <w:rsid w:val="04500C13"/>
    <w:rsid w:val="05166466"/>
    <w:rsid w:val="053A6065"/>
    <w:rsid w:val="059B3AAE"/>
    <w:rsid w:val="05CC10A3"/>
    <w:rsid w:val="06833BD2"/>
    <w:rsid w:val="074C774E"/>
    <w:rsid w:val="080B7C0E"/>
    <w:rsid w:val="084E3529"/>
    <w:rsid w:val="08732BE6"/>
    <w:rsid w:val="089B45A8"/>
    <w:rsid w:val="096B180A"/>
    <w:rsid w:val="09F304B2"/>
    <w:rsid w:val="09FF14CE"/>
    <w:rsid w:val="0A6A4B3C"/>
    <w:rsid w:val="0AEC7889"/>
    <w:rsid w:val="0B4654C4"/>
    <w:rsid w:val="0B505B9B"/>
    <w:rsid w:val="0B7C4CD0"/>
    <w:rsid w:val="0BCF050F"/>
    <w:rsid w:val="0C2333E1"/>
    <w:rsid w:val="0CC66731"/>
    <w:rsid w:val="0D0A5D09"/>
    <w:rsid w:val="0DEF1ED0"/>
    <w:rsid w:val="0E3436CA"/>
    <w:rsid w:val="0E3520B1"/>
    <w:rsid w:val="0E632E24"/>
    <w:rsid w:val="0ED84F6A"/>
    <w:rsid w:val="0F34788B"/>
    <w:rsid w:val="0FB26A4C"/>
    <w:rsid w:val="127203E1"/>
    <w:rsid w:val="130A06A1"/>
    <w:rsid w:val="133E369B"/>
    <w:rsid w:val="14F14A2B"/>
    <w:rsid w:val="152B3DC1"/>
    <w:rsid w:val="16501FA9"/>
    <w:rsid w:val="16D05439"/>
    <w:rsid w:val="16D704B9"/>
    <w:rsid w:val="16DF3580"/>
    <w:rsid w:val="17D9549A"/>
    <w:rsid w:val="195B65E5"/>
    <w:rsid w:val="1AA34806"/>
    <w:rsid w:val="1B3D3845"/>
    <w:rsid w:val="1B48205C"/>
    <w:rsid w:val="1C171F7D"/>
    <w:rsid w:val="1C2703A5"/>
    <w:rsid w:val="1C857C15"/>
    <w:rsid w:val="1DAB010F"/>
    <w:rsid w:val="1DB945CA"/>
    <w:rsid w:val="1E7A25D0"/>
    <w:rsid w:val="1EC835CB"/>
    <w:rsid w:val="1EDA248C"/>
    <w:rsid w:val="20870629"/>
    <w:rsid w:val="20F952A8"/>
    <w:rsid w:val="21FB29C4"/>
    <w:rsid w:val="229C30C2"/>
    <w:rsid w:val="22E91128"/>
    <w:rsid w:val="22EE450C"/>
    <w:rsid w:val="231D77B9"/>
    <w:rsid w:val="2353380A"/>
    <w:rsid w:val="23E4105C"/>
    <w:rsid w:val="24287BD3"/>
    <w:rsid w:val="2439606F"/>
    <w:rsid w:val="246227C9"/>
    <w:rsid w:val="248316EB"/>
    <w:rsid w:val="24983B90"/>
    <w:rsid w:val="24E21EE4"/>
    <w:rsid w:val="255F6C5D"/>
    <w:rsid w:val="265B0866"/>
    <w:rsid w:val="26655095"/>
    <w:rsid w:val="27A55152"/>
    <w:rsid w:val="27B045C5"/>
    <w:rsid w:val="281313DD"/>
    <w:rsid w:val="28463993"/>
    <w:rsid w:val="29042498"/>
    <w:rsid w:val="294A5A4D"/>
    <w:rsid w:val="2A59481B"/>
    <w:rsid w:val="2A930A12"/>
    <w:rsid w:val="2AE95EBF"/>
    <w:rsid w:val="2AF979C2"/>
    <w:rsid w:val="2AFD3C60"/>
    <w:rsid w:val="2B0C371E"/>
    <w:rsid w:val="2B743395"/>
    <w:rsid w:val="2BD860B6"/>
    <w:rsid w:val="2C0F4C44"/>
    <w:rsid w:val="2CA169F7"/>
    <w:rsid w:val="2CEC6272"/>
    <w:rsid w:val="2D3938B4"/>
    <w:rsid w:val="2D8E78CE"/>
    <w:rsid w:val="2DCD3E28"/>
    <w:rsid w:val="2E7F4673"/>
    <w:rsid w:val="2E8B0993"/>
    <w:rsid w:val="2EE12E83"/>
    <w:rsid w:val="2F920DEB"/>
    <w:rsid w:val="2FCA6682"/>
    <w:rsid w:val="2FDD2EE6"/>
    <w:rsid w:val="30354AD0"/>
    <w:rsid w:val="31626EEC"/>
    <w:rsid w:val="31D31D10"/>
    <w:rsid w:val="31D502D7"/>
    <w:rsid w:val="32FD3BE5"/>
    <w:rsid w:val="340772C2"/>
    <w:rsid w:val="343D54B3"/>
    <w:rsid w:val="34D74C20"/>
    <w:rsid w:val="34DA604A"/>
    <w:rsid w:val="36BA3301"/>
    <w:rsid w:val="37365EB5"/>
    <w:rsid w:val="37A10767"/>
    <w:rsid w:val="382F5281"/>
    <w:rsid w:val="385100C7"/>
    <w:rsid w:val="39EA6ECB"/>
    <w:rsid w:val="3A4E0637"/>
    <w:rsid w:val="3AB02844"/>
    <w:rsid w:val="3AC35398"/>
    <w:rsid w:val="3B054818"/>
    <w:rsid w:val="3B650EBF"/>
    <w:rsid w:val="3C022718"/>
    <w:rsid w:val="3C485AA7"/>
    <w:rsid w:val="3C824CFC"/>
    <w:rsid w:val="3D3C78B9"/>
    <w:rsid w:val="3DC12EEA"/>
    <w:rsid w:val="3DCD7D26"/>
    <w:rsid w:val="3E7E11CD"/>
    <w:rsid w:val="3F9F114C"/>
    <w:rsid w:val="3FBE237E"/>
    <w:rsid w:val="3FD008F7"/>
    <w:rsid w:val="3FEE332F"/>
    <w:rsid w:val="400F065B"/>
    <w:rsid w:val="41122B16"/>
    <w:rsid w:val="417D7A48"/>
    <w:rsid w:val="41823B99"/>
    <w:rsid w:val="42355F51"/>
    <w:rsid w:val="429168DD"/>
    <w:rsid w:val="42A0345F"/>
    <w:rsid w:val="42A56EBA"/>
    <w:rsid w:val="42CE0D35"/>
    <w:rsid w:val="432B09D4"/>
    <w:rsid w:val="43435576"/>
    <w:rsid w:val="434542A3"/>
    <w:rsid w:val="43661115"/>
    <w:rsid w:val="44BE65E0"/>
    <w:rsid w:val="45012F8D"/>
    <w:rsid w:val="45045AC7"/>
    <w:rsid w:val="450E1320"/>
    <w:rsid w:val="45470CB6"/>
    <w:rsid w:val="458E64E3"/>
    <w:rsid w:val="45B401D3"/>
    <w:rsid w:val="45ED636E"/>
    <w:rsid w:val="46DC3AA0"/>
    <w:rsid w:val="471D5D1F"/>
    <w:rsid w:val="472A4DB0"/>
    <w:rsid w:val="4738342D"/>
    <w:rsid w:val="475D536A"/>
    <w:rsid w:val="47911341"/>
    <w:rsid w:val="47C47362"/>
    <w:rsid w:val="481A5F60"/>
    <w:rsid w:val="4987571E"/>
    <w:rsid w:val="49936DA3"/>
    <w:rsid w:val="4A8C4473"/>
    <w:rsid w:val="4AB33D29"/>
    <w:rsid w:val="4B1F647F"/>
    <w:rsid w:val="4C233239"/>
    <w:rsid w:val="4C3B6727"/>
    <w:rsid w:val="4CAB6713"/>
    <w:rsid w:val="4D202F62"/>
    <w:rsid w:val="4DBD1A4F"/>
    <w:rsid w:val="4DCB2E58"/>
    <w:rsid w:val="4DDA0EAA"/>
    <w:rsid w:val="4E3B4E99"/>
    <w:rsid w:val="4EC45334"/>
    <w:rsid w:val="4FA47FEB"/>
    <w:rsid w:val="503912EB"/>
    <w:rsid w:val="503C4167"/>
    <w:rsid w:val="50F22391"/>
    <w:rsid w:val="5105698F"/>
    <w:rsid w:val="51E312A3"/>
    <w:rsid w:val="521A50CA"/>
    <w:rsid w:val="523D1809"/>
    <w:rsid w:val="53FD5C3D"/>
    <w:rsid w:val="54345D59"/>
    <w:rsid w:val="543B7DDF"/>
    <w:rsid w:val="54622723"/>
    <w:rsid w:val="54C067AF"/>
    <w:rsid w:val="54F24A86"/>
    <w:rsid w:val="55B2291D"/>
    <w:rsid w:val="56B57908"/>
    <w:rsid w:val="56CB53DD"/>
    <w:rsid w:val="56FE2233"/>
    <w:rsid w:val="57397077"/>
    <w:rsid w:val="57C51437"/>
    <w:rsid w:val="59300AFE"/>
    <w:rsid w:val="5B2D6CEE"/>
    <w:rsid w:val="5B4F3C48"/>
    <w:rsid w:val="5B842A2E"/>
    <w:rsid w:val="5BE905BF"/>
    <w:rsid w:val="5C077BF3"/>
    <w:rsid w:val="5CF97198"/>
    <w:rsid w:val="5CFC53FF"/>
    <w:rsid w:val="5D993762"/>
    <w:rsid w:val="5DAD294E"/>
    <w:rsid w:val="5E732FE7"/>
    <w:rsid w:val="5EA165A4"/>
    <w:rsid w:val="5EB52965"/>
    <w:rsid w:val="5F0D3D8E"/>
    <w:rsid w:val="5F726888"/>
    <w:rsid w:val="60370D9C"/>
    <w:rsid w:val="60834791"/>
    <w:rsid w:val="60DF3BF1"/>
    <w:rsid w:val="61106291"/>
    <w:rsid w:val="61320BA9"/>
    <w:rsid w:val="620B22C0"/>
    <w:rsid w:val="623E7551"/>
    <w:rsid w:val="628A0D56"/>
    <w:rsid w:val="632D793D"/>
    <w:rsid w:val="63F50756"/>
    <w:rsid w:val="64C3075A"/>
    <w:rsid w:val="650E3F83"/>
    <w:rsid w:val="65964E5D"/>
    <w:rsid w:val="65A72B32"/>
    <w:rsid w:val="6623352F"/>
    <w:rsid w:val="663B6125"/>
    <w:rsid w:val="66A42792"/>
    <w:rsid w:val="66AD6293"/>
    <w:rsid w:val="670B0904"/>
    <w:rsid w:val="679720DB"/>
    <w:rsid w:val="679B3DAE"/>
    <w:rsid w:val="67FA3ADA"/>
    <w:rsid w:val="681C1AF7"/>
    <w:rsid w:val="682723E8"/>
    <w:rsid w:val="688450B6"/>
    <w:rsid w:val="69A306CC"/>
    <w:rsid w:val="6A101101"/>
    <w:rsid w:val="6A6E291A"/>
    <w:rsid w:val="6A945A9B"/>
    <w:rsid w:val="6AC140B1"/>
    <w:rsid w:val="6BA74315"/>
    <w:rsid w:val="6BAB19C6"/>
    <w:rsid w:val="6C490484"/>
    <w:rsid w:val="6CF55FCB"/>
    <w:rsid w:val="6D2F76A6"/>
    <w:rsid w:val="6D4B3B3D"/>
    <w:rsid w:val="6D9739BE"/>
    <w:rsid w:val="6E033242"/>
    <w:rsid w:val="6E425DEE"/>
    <w:rsid w:val="701F0BE2"/>
    <w:rsid w:val="702B4173"/>
    <w:rsid w:val="70412B82"/>
    <w:rsid w:val="70AC3247"/>
    <w:rsid w:val="70B25325"/>
    <w:rsid w:val="70C34A06"/>
    <w:rsid w:val="71272202"/>
    <w:rsid w:val="71286EED"/>
    <w:rsid w:val="71502C3D"/>
    <w:rsid w:val="71D91954"/>
    <w:rsid w:val="71FA03D2"/>
    <w:rsid w:val="7214068D"/>
    <w:rsid w:val="72664FD3"/>
    <w:rsid w:val="727033D1"/>
    <w:rsid w:val="72A9539D"/>
    <w:rsid w:val="72C82DDB"/>
    <w:rsid w:val="73392470"/>
    <w:rsid w:val="73982572"/>
    <w:rsid w:val="746369B9"/>
    <w:rsid w:val="751F1A4B"/>
    <w:rsid w:val="75747893"/>
    <w:rsid w:val="76250B47"/>
    <w:rsid w:val="76513577"/>
    <w:rsid w:val="769A0ED4"/>
    <w:rsid w:val="76FE0CDA"/>
    <w:rsid w:val="77520979"/>
    <w:rsid w:val="777271B3"/>
    <w:rsid w:val="7872717E"/>
    <w:rsid w:val="78987255"/>
    <w:rsid w:val="7910745F"/>
    <w:rsid w:val="791F21A9"/>
    <w:rsid w:val="7A6811A8"/>
    <w:rsid w:val="7AFD495C"/>
    <w:rsid w:val="7B8B4159"/>
    <w:rsid w:val="7BA01856"/>
    <w:rsid w:val="7BB27003"/>
    <w:rsid w:val="7C851FC2"/>
    <w:rsid w:val="7CAB1C8C"/>
    <w:rsid w:val="7DBA0D42"/>
    <w:rsid w:val="7DD341AE"/>
    <w:rsid w:val="7DE50D8D"/>
    <w:rsid w:val="7E25518C"/>
    <w:rsid w:val="7E3D0E63"/>
    <w:rsid w:val="7EB959EF"/>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Cambria" w:hAnsi="Cambria"/>
      <w:b/>
      <w:bCs/>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28"/>
    <w:qFormat/>
    <w:uiPriority w:val="0"/>
    <w:pPr>
      <w:ind w:firstLine="420"/>
    </w:pPr>
    <w:rPr>
      <w:sz w:val="21"/>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Document Map"/>
    <w:basedOn w:val="1"/>
    <w:link w:val="70"/>
    <w:semiHidden/>
    <w:unhideWhenUsed/>
    <w:qFormat/>
    <w:uiPriority w:val="99"/>
    <w:rPr>
      <w:rFonts w:ascii="宋体"/>
      <w:sz w:val="18"/>
      <w:szCs w:val="18"/>
    </w:rPr>
  </w:style>
  <w:style w:type="paragraph" w:styleId="8">
    <w:name w:val="annotation text"/>
    <w:basedOn w:val="1"/>
    <w:link w:val="32"/>
    <w:unhideWhenUsed/>
    <w:qFormat/>
    <w:uiPriority w:val="99"/>
    <w:pPr>
      <w:jc w:val="left"/>
    </w:pPr>
  </w:style>
  <w:style w:type="paragraph" w:styleId="9">
    <w:name w:val="Body Text"/>
    <w:basedOn w:val="1"/>
    <w:link w:val="76"/>
    <w:semiHidden/>
    <w:unhideWhenUsed/>
    <w:qFormat/>
    <w:uiPriority w:val="99"/>
    <w:pPr>
      <w:spacing w:after="120"/>
    </w:pPr>
  </w:style>
  <w:style w:type="paragraph" w:styleId="10">
    <w:name w:val="Body Text Indent"/>
    <w:basedOn w:val="1"/>
    <w:link w:val="33"/>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52"/>
    <w:qFormat/>
    <w:uiPriority w:val="0"/>
    <w:pPr>
      <w:spacing w:beforeLines="50" w:afterLines="50" w:line="400" w:lineRule="atLeas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40"/>
    <w:qFormat/>
    <w:uiPriority w:val="99"/>
    <w:pPr>
      <w:tabs>
        <w:tab w:val="center" w:pos="4153"/>
        <w:tab w:val="right" w:pos="8306"/>
      </w:tabs>
      <w:snapToGrid w:val="0"/>
      <w:jc w:val="left"/>
    </w:pPr>
    <w:rPr>
      <w:sz w:val="18"/>
      <w:szCs w:val="18"/>
    </w:rPr>
  </w:style>
  <w:style w:type="paragraph" w:styleId="16">
    <w:name w:val="header"/>
    <w:basedOn w:val="1"/>
    <w:link w:val="31"/>
    <w:qFormat/>
    <w:uiPriority w:val="99"/>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9">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0">
    <w:name w:val="annotation subject"/>
    <w:basedOn w:val="8"/>
    <w:next w:val="8"/>
    <w:link w:val="29"/>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unhideWhenUsed/>
    <w:qFormat/>
    <w:uiPriority w:val="99"/>
    <w:rPr>
      <w:sz w:val="21"/>
      <w:szCs w:val="21"/>
    </w:rPr>
  </w:style>
  <w:style w:type="character" w:customStyle="1" w:styleId="28">
    <w:name w:val="正文缩进 字符"/>
    <w:link w:val="5"/>
    <w:qFormat/>
    <w:uiPriority w:val="0"/>
    <w:rPr>
      <w:rFonts w:eastAsia="宋体"/>
      <w:kern w:val="2"/>
      <w:sz w:val="21"/>
      <w:lang w:val="en-US" w:eastAsia="zh-CN" w:bidi="ar-SA"/>
    </w:rPr>
  </w:style>
  <w:style w:type="character" w:customStyle="1" w:styleId="29">
    <w:name w:val="批注主题 字符"/>
    <w:link w:val="20"/>
    <w:semiHidden/>
    <w:qFormat/>
    <w:uiPriority w:val="99"/>
    <w:rPr>
      <w:b/>
      <w:bCs/>
      <w:kern w:val="2"/>
      <w:sz w:val="28"/>
      <w:szCs w:val="24"/>
    </w:rPr>
  </w:style>
  <w:style w:type="character" w:customStyle="1" w:styleId="30">
    <w:name w:val="访问过的超链接1"/>
    <w:unhideWhenUsed/>
    <w:qFormat/>
    <w:uiPriority w:val="99"/>
    <w:rPr>
      <w:color w:val="800080"/>
      <w:u w:val="single"/>
    </w:rPr>
  </w:style>
  <w:style w:type="character" w:customStyle="1" w:styleId="31">
    <w:name w:val="页眉 字符1"/>
    <w:link w:val="16"/>
    <w:qFormat/>
    <w:uiPriority w:val="99"/>
    <w:rPr>
      <w:kern w:val="2"/>
      <w:sz w:val="18"/>
      <w:szCs w:val="18"/>
    </w:rPr>
  </w:style>
  <w:style w:type="character" w:customStyle="1" w:styleId="32">
    <w:name w:val="批注文字 字符1"/>
    <w:link w:val="8"/>
    <w:semiHidden/>
    <w:qFormat/>
    <w:uiPriority w:val="99"/>
    <w:rPr>
      <w:kern w:val="2"/>
      <w:sz w:val="28"/>
      <w:szCs w:val="24"/>
    </w:rPr>
  </w:style>
  <w:style w:type="character" w:customStyle="1" w:styleId="33">
    <w:name w:val="正文文本缩进 字符1"/>
    <w:link w:val="10"/>
    <w:qFormat/>
    <w:uiPriority w:val="0"/>
    <w:rPr>
      <w:rFonts w:ascii="宋体" w:hAnsi="Courier New"/>
      <w:spacing w:val="-4"/>
      <w:kern w:val="2"/>
      <w:sz w:val="18"/>
    </w:rPr>
  </w:style>
  <w:style w:type="character" w:customStyle="1" w:styleId="34">
    <w:name w:val="z-窗体顶端 Char"/>
    <w:link w:val="35"/>
    <w:semiHidden/>
    <w:qFormat/>
    <w:uiPriority w:val="99"/>
    <w:rPr>
      <w:rFonts w:ascii="Arial" w:hAnsi="Arial"/>
      <w:vanish/>
      <w:sz w:val="16"/>
      <w:szCs w:val="16"/>
    </w:rPr>
  </w:style>
  <w:style w:type="paragraph" w:customStyle="1" w:styleId="35">
    <w:name w:val="z-窗体顶端1"/>
    <w:basedOn w:val="1"/>
    <w:next w:val="1"/>
    <w:link w:val="34"/>
    <w:unhideWhenUsed/>
    <w:qFormat/>
    <w:uiPriority w:val="99"/>
    <w:pPr>
      <w:widowControl/>
      <w:pBdr>
        <w:bottom w:val="single" w:color="auto" w:sz="6" w:space="1"/>
      </w:pBdr>
      <w:jc w:val="center"/>
    </w:pPr>
    <w:rPr>
      <w:rFonts w:ascii="Arial" w:hAnsi="Arial"/>
      <w:vanish/>
      <w:kern w:val="0"/>
      <w:sz w:val="16"/>
      <w:szCs w:val="16"/>
    </w:rPr>
  </w:style>
  <w:style w:type="character" w:customStyle="1" w:styleId="36">
    <w:name w:val="正方框图 Char Char Char"/>
    <w:link w:val="37"/>
    <w:qFormat/>
    <w:uiPriority w:val="0"/>
    <w:rPr>
      <w:kern w:val="2"/>
      <w:sz w:val="21"/>
      <w:szCs w:val="21"/>
    </w:rPr>
  </w:style>
  <w:style w:type="paragraph" w:customStyle="1" w:styleId="37">
    <w:name w:val="正方框图 Char Char"/>
    <w:basedOn w:val="1"/>
    <w:link w:val="36"/>
    <w:qFormat/>
    <w:uiPriority w:val="0"/>
    <w:pPr>
      <w:snapToGrid w:val="0"/>
      <w:jc w:val="center"/>
    </w:pPr>
    <w:rPr>
      <w:sz w:val="21"/>
      <w:szCs w:val="21"/>
    </w:rPr>
  </w:style>
  <w:style w:type="character" w:customStyle="1" w:styleId="38">
    <w:name w:val="正文文本缩进 字符"/>
    <w:qFormat/>
    <w:uiPriority w:val="0"/>
    <w:rPr>
      <w:rFonts w:ascii="宋体" w:hAnsi="Courier New"/>
      <w:spacing w:val="-4"/>
      <w:kern w:val="2"/>
      <w:sz w:val="18"/>
    </w:rPr>
  </w:style>
  <w:style w:type="character" w:customStyle="1" w:styleId="39">
    <w:name w:val="标题 1 Char Char"/>
    <w:qFormat/>
    <w:uiPriority w:val="0"/>
    <w:rPr>
      <w:rFonts w:eastAsia="宋体"/>
      <w:b/>
      <w:spacing w:val="-2"/>
      <w:sz w:val="24"/>
      <w:lang w:val="en-US" w:eastAsia="zh-CN" w:bidi="ar-SA"/>
    </w:rPr>
  </w:style>
  <w:style w:type="character" w:customStyle="1" w:styleId="40">
    <w:name w:val="页脚 字符1"/>
    <w:link w:val="15"/>
    <w:qFormat/>
    <w:uiPriority w:val="99"/>
    <w:rPr>
      <w:kern w:val="2"/>
      <w:sz w:val="18"/>
      <w:szCs w:val="18"/>
    </w:rPr>
  </w:style>
  <w:style w:type="character" w:customStyle="1" w:styleId="41">
    <w:name w:val="标题 2 字符"/>
    <w:link w:val="3"/>
    <w:semiHidden/>
    <w:qFormat/>
    <w:uiPriority w:val="9"/>
    <w:rPr>
      <w:rFonts w:ascii="Cambria" w:hAnsi="Cambria" w:eastAsia="宋体" w:cs="Times New Roman"/>
      <w:b/>
      <w:bCs/>
      <w:kern w:val="2"/>
      <w:sz w:val="32"/>
      <w:szCs w:val="32"/>
    </w:rPr>
  </w:style>
  <w:style w:type="character" w:customStyle="1" w:styleId="42">
    <w:name w:val="标题 1 字符"/>
    <w:link w:val="2"/>
    <w:qFormat/>
    <w:uiPriority w:val="9"/>
    <w:rPr>
      <w:b/>
      <w:bCs/>
      <w:kern w:val="44"/>
      <w:sz w:val="44"/>
      <w:szCs w:val="44"/>
    </w:rPr>
  </w:style>
  <w:style w:type="character" w:customStyle="1" w:styleId="43">
    <w:name w:val="纯文本 字符"/>
    <w:qFormat/>
    <w:uiPriority w:val="0"/>
    <w:rPr>
      <w:rFonts w:ascii="宋体" w:hAnsi="Courier New"/>
      <w:kern w:val="2"/>
      <w:sz w:val="24"/>
      <w:szCs w:val="24"/>
    </w:rPr>
  </w:style>
  <w:style w:type="character" w:customStyle="1" w:styleId="44">
    <w:name w:val="页脚 字符"/>
    <w:qFormat/>
    <w:uiPriority w:val="99"/>
  </w:style>
  <w:style w:type="character" w:customStyle="1" w:styleId="45">
    <w:name w:val="maywed421"/>
    <w:qFormat/>
    <w:uiPriority w:val="0"/>
    <w:rPr>
      <w:color w:val="366FB6"/>
      <w:u w:val="none"/>
    </w:rPr>
  </w:style>
  <w:style w:type="character" w:customStyle="1" w:styleId="46">
    <w:name w:val="Plain Text Char Char"/>
    <w:link w:val="47"/>
    <w:qFormat/>
    <w:uiPriority w:val="0"/>
    <w:rPr>
      <w:rFonts w:ascii="宋体" w:hAnsi="Courier New" w:cs="宋体"/>
    </w:rPr>
  </w:style>
  <w:style w:type="paragraph" w:customStyle="1" w:styleId="47">
    <w:name w:val="纯文本1"/>
    <w:basedOn w:val="1"/>
    <w:link w:val="46"/>
    <w:qFormat/>
    <w:uiPriority w:val="0"/>
    <w:rPr>
      <w:rFonts w:ascii="宋体" w:hAnsi="Courier New"/>
      <w:kern w:val="0"/>
      <w:sz w:val="20"/>
      <w:szCs w:val="20"/>
    </w:rPr>
  </w:style>
  <w:style w:type="character" w:customStyle="1" w:styleId="48">
    <w:name w:val="纯文本 Char1"/>
    <w:qFormat/>
    <w:uiPriority w:val="0"/>
    <w:rPr>
      <w:rFonts w:ascii="宋体" w:hAnsi="Courier New"/>
      <w:kern w:val="2"/>
      <w:sz w:val="21"/>
    </w:rPr>
  </w:style>
  <w:style w:type="character" w:customStyle="1" w:styleId="49">
    <w:name w:val="black601"/>
    <w:qFormat/>
    <w:uiPriority w:val="0"/>
    <w:rPr>
      <w:color w:val="666666"/>
    </w:rPr>
  </w:style>
  <w:style w:type="character" w:customStyle="1" w:styleId="50">
    <w:name w:val="z-窗体底端 Char"/>
    <w:link w:val="51"/>
    <w:semiHidden/>
    <w:qFormat/>
    <w:uiPriority w:val="99"/>
    <w:rPr>
      <w:rFonts w:ascii="Arial" w:hAnsi="Arial"/>
      <w:vanish/>
      <w:sz w:val="16"/>
      <w:szCs w:val="16"/>
    </w:rPr>
  </w:style>
  <w:style w:type="paragraph" w:customStyle="1" w:styleId="51">
    <w:name w:val="z-窗体底端1"/>
    <w:basedOn w:val="1"/>
    <w:next w:val="1"/>
    <w:link w:val="50"/>
    <w:unhideWhenUsed/>
    <w:qFormat/>
    <w:uiPriority w:val="99"/>
    <w:pPr>
      <w:widowControl/>
      <w:pBdr>
        <w:top w:val="single" w:color="auto" w:sz="6" w:space="1"/>
      </w:pBdr>
      <w:jc w:val="center"/>
    </w:pPr>
    <w:rPr>
      <w:rFonts w:ascii="Arial" w:hAnsi="Arial"/>
      <w:vanish/>
      <w:kern w:val="0"/>
      <w:sz w:val="16"/>
      <w:szCs w:val="16"/>
    </w:rPr>
  </w:style>
  <w:style w:type="character" w:customStyle="1" w:styleId="52">
    <w:name w:val="纯文本 字符1"/>
    <w:link w:val="12"/>
    <w:qFormat/>
    <w:uiPriority w:val="99"/>
    <w:rPr>
      <w:rFonts w:ascii="宋体" w:hAnsi="Courier New"/>
      <w:kern w:val="2"/>
      <w:sz w:val="24"/>
      <w:szCs w:val="24"/>
    </w:rPr>
  </w:style>
  <w:style w:type="character" w:customStyle="1" w:styleId="53">
    <w:name w:val="页眉 字符"/>
    <w:qFormat/>
    <w:uiPriority w:val="99"/>
  </w:style>
  <w:style w:type="paragraph" w:styleId="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paragraph" w:customStyle="1" w:styleId="58">
    <w:name w:val="List Paragraph1"/>
    <w:basedOn w:val="1"/>
    <w:qFormat/>
    <w:uiPriority w:val="99"/>
    <w:pPr>
      <w:ind w:firstLine="420" w:firstLineChars="200"/>
    </w:pPr>
    <w:rPr>
      <w:sz w:val="21"/>
    </w:rPr>
  </w:style>
  <w:style w:type="paragraph" w:customStyle="1" w:styleId="59">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1">
    <w:name w:val="列出段落1"/>
    <w:basedOn w:val="1"/>
    <w:qFormat/>
    <w:uiPriority w:val="0"/>
    <w:pPr>
      <w:ind w:firstLine="420" w:firstLineChars="200"/>
    </w:pPr>
    <w:rPr>
      <w:rFonts w:ascii="Calibri" w:hAnsi="Calibri"/>
      <w:sz w:val="21"/>
    </w:rPr>
  </w:style>
  <w:style w:type="paragraph" w:customStyle="1" w:styleId="6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styleId="63">
    <w:name w:val="List Paragraph"/>
    <w:basedOn w:val="1"/>
    <w:qFormat/>
    <w:uiPriority w:val="34"/>
    <w:pPr>
      <w:ind w:firstLine="420" w:firstLineChars="200"/>
    </w:pPr>
    <w:rPr>
      <w:rFonts w:ascii="Calibri" w:hAnsi="Calibri"/>
      <w:sz w:val="21"/>
      <w:szCs w:val="22"/>
    </w:rPr>
  </w:style>
  <w:style w:type="paragraph" w:customStyle="1" w:styleId="64">
    <w:name w:val="正文段"/>
    <w:basedOn w:val="1"/>
    <w:qFormat/>
    <w:uiPriority w:val="0"/>
    <w:pPr>
      <w:widowControl/>
      <w:snapToGrid w:val="0"/>
      <w:spacing w:afterLines="50"/>
      <w:ind w:firstLine="200" w:firstLineChars="200"/>
    </w:pPr>
    <w:rPr>
      <w:kern w:val="0"/>
      <w:sz w:val="24"/>
      <w:szCs w:val="20"/>
    </w:rPr>
  </w:style>
  <w:style w:type="character" w:customStyle="1" w:styleId="65">
    <w:name w:val="正文文本缩进 Char"/>
    <w:qFormat/>
    <w:uiPriority w:val="0"/>
    <w:rPr>
      <w:rFonts w:ascii="宋体" w:hAnsi="Courier New"/>
      <w:spacing w:val="-4"/>
      <w:kern w:val="2"/>
      <w:sz w:val="18"/>
    </w:rPr>
  </w:style>
  <w:style w:type="character" w:customStyle="1" w:styleId="66">
    <w:name w:val="批注文字 Char"/>
    <w:qFormat/>
    <w:uiPriority w:val="99"/>
    <w:rPr>
      <w:kern w:val="2"/>
      <w:sz w:val="28"/>
      <w:szCs w:val="24"/>
    </w:rPr>
  </w:style>
  <w:style w:type="paragraph" w:customStyle="1" w:styleId="6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character" w:customStyle="1" w:styleId="68">
    <w:name w:val="纯文本 Char2"/>
    <w:qFormat/>
    <w:uiPriority w:val="99"/>
    <w:rPr>
      <w:rFonts w:ascii="宋体" w:hAnsi="Courier New"/>
      <w:kern w:val="2"/>
      <w:sz w:val="24"/>
      <w:szCs w:val="24"/>
    </w:rPr>
  </w:style>
  <w:style w:type="character" w:customStyle="1" w:styleId="69">
    <w:name w:val="批注文字 Char1"/>
    <w:semiHidden/>
    <w:qFormat/>
    <w:locked/>
    <w:uiPriority w:val="99"/>
    <w:rPr>
      <w:kern w:val="2"/>
      <w:sz w:val="28"/>
      <w:szCs w:val="24"/>
    </w:rPr>
  </w:style>
  <w:style w:type="character" w:customStyle="1" w:styleId="70">
    <w:name w:val="文档结构图 字符"/>
    <w:basedOn w:val="23"/>
    <w:link w:val="7"/>
    <w:semiHidden/>
    <w:qFormat/>
    <w:uiPriority w:val="99"/>
    <w:rPr>
      <w:rFonts w:ascii="宋体"/>
      <w:kern w:val="2"/>
      <w:sz w:val="18"/>
      <w:szCs w:val="18"/>
    </w:rPr>
  </w:style>
  <w:style w:type="character" w:customStyle="1" w:styleId="71">
    <w:name w:val="批注文字 字符"/>
    <w:qFormat/>
    <w:uiPriority w:val="99"/>
    <w:rPr>
      <w:kern w:val="2"/>
      <w:sz w:val="28"/>
      <w:szCs w:val="24"/>
    </w:rPr>
  </w:style>
  <w:style w:type="character" w:customStyle="1" w:styleId="72">
    <w:name w:val="正文文本缩进 字符2"/>
    <w:qFormat/>
    <w:uiPriority w:val="0"/>
    <w:rPr>
      <w:rFonts w:ascii="宋体" w:hAnsi="Courier New"/>
      <w:spacing w:val="-4"/>
      <w:kern w:val="2"/>
      <w:sz w:val="18"/>
    </w:rPr>
  </w:style>
  <w:style w:type="character" w:customStyle="1" w:styleId="73">
    <w:name w:val="Unresolved Mention"/>
    <w:basedOn w:val="23"/>
    <w:semiHidden/>
    <w:unhideWhenUsed/>
    <w:qFormat/>
    <w:uiPriority w:val="99"/>
    <w:rPr>
      <w:color w:val="605E5C"/>
      <w:shd w:val="clear" w:color="auto" w:fill="E1DFDD"/>
    </w:rPr>
  </w:style>
  <w:style w:type="table" w:customStyle="1" w:styleId="74">
    <w:name w:val="网格型1"/>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网格型2"/>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6">
    <w:name w:val="正文文本 字符"/>
    <w:basedOn w:val="23"/>
    <w:link w:val="9"/>
    <w:semiHidden/>
    <w:qFormat/>
    <w:uiPriority w:val="99"/>
    <w:rPr>
      <w:kern w:val="2"/>
      <w:sz w:val="28"/>
      <w:szCs w:val="24"/>
    </w:rPr>
  </w:style>
  <w:style w:type="paragraph" w:customStyle="1" w:styleId="7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8">
    <w:name w:val="Revision"/>
    <w:hidden/>
    <w:semiHidden/>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zju</Company>
  <Pages>42</Pages>
  <Words>22627</Words>
  <Characters>24112</Characters>
  <Lines>185</Lines>
  <Paragraphs>52</Paragraphs>
  <TotalTime>5</TotalTime>
  <ScaleCrop>false</ScaleCrop>
  <LinksUpToDate>false</LinksUpToDate>
  <CharactersWithSpaces>24639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2022-06-20T06:41:00Z</dcterms:created>
  <dc:creator>jj</dc:creator>
  <cp:lastModifiedBy>迈向破灭的圆舞曲</cp:lastModifiedBy>
  <cp:lastPrinted>2016-03-21T00:55:00Z</cp:lastPrinted>
  <dcterms:modified xsi:type="dcterms:W3CDTF">2022-12-30T07:12:51Z</dcterms:modified>
  <dc:title>求是招标代理有限公司</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19489B5858354B36968112EB033AB174</vt:lpwstr>
  </property>
</Properties>
</file>